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CB784" w14:textId="53A565A7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E72E03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701B27">
        <w:rPr>
          <w:rFonts w:ascii="맑은 고딕" w:eastAsia="맑은 고딕" w:hAnsi="맑은 고딕" w:cs="맑은 고딕" w:hint="eastAsia"/>
          <w:b/>
          <w:bCs/>
          <w:snapToGrid w:val="0"/>
          <w:sz w:val="24"/>
          <w:lang w:val="en-GB"/>
        </w:rPr>
        <w:t>b</w:t>
      </w:r>
      <w:r w:rsidR="00701B27">
        <w:rPr>
          <w:rFonts w:ascii="맑은 고딕" w:eastAsia="맑은 고딕" w:hAnsi="맑은 고딕" w:cs="맑은 고딕"/>
          <w:b/>
          <w:bCs/>
          <w:snapToGrid w:val="0"/>
          <w:sz w:val="24"/>
          <w:lang w:val="en-GB"/>
        </w:rPr>
        <w:t>is</w:t>
      </w:r>
      <w:r w:rsidR="003C79B8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2E5F02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2E5F02"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97398A">
        <w:rPr>
          <w:rFonts w:ascii="Arial" w:hAnsi="Arial" w:cs="Arial"/>
          <w:b/>
          <w:bCs/>
          <w:snapToGrid w:val="0"/>
          <w:sz w:val="24"/>
          <w:lang w:val="en-GB"/>
        </w:rPr>
        <w:t>9333</w:t>
      </w:r>
      <w:bookmarkStart w:id="2" w:name="_GoBack"/>
      <w:bookmarkEnd w:id="2"/>
    </w:p>
    <w:p w14:paraId="35E93599" w14:textId="05B9FBA1" w:rsidR="004C50BE" w:rsidRPr="006A0944" w:rsidRDefault="00701B27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Xiamen, China, October 9</w:t>
      </w:r>
      <w:r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– October 13</w:t>
      </w:r>
      <w:r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54238B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615BE48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701B27">
        <w:rPr>
          <w:sz w:val="24"/>
          <w:szCs w:val="24"/>
        </w:rPr>
        <w:t>8</w:t>
      </w:r>
      <w:r w:rsidR="0052419F">
        <w:rPr>
          <w:sz w:val="24"/>
          <w:szCs w:val="24"/>
        </w:rPr>
        <w:t>.</w:t>
      </w:r>
      <w:r w:rsidR="00701B27">
        <w:rPr>
          <w:sz w:val="24"/>
          <w:szCs w:val="24"/>
        </w:rPr>
        <w:t>13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81454E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FF4283" w:rsidRPr="00FF4283">
        <w:rPr>
          <w:spacing w:val="-6"/>
          <w:sz w:val="24"/>
          <w:szCs w:val="24"/>
        </w:rPr>
        <w:t>Discussion on RAN4 LS on FR2-NTN PRACH aspects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E788C9" w14:textId="6E4F759F" w:rsidR="00EB7D68" w:rsidRPr="000D7D5B" w:rsidRDefault="00EB7D68" w:rsidP="000D7D5B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In</w:t>
      </w:r>
      <w:r w:rsidRPr="00EB7D68">
        <w:rPr>
          <w:b w:val="0"/>
          <w:sz w:val="22"/>
        </w:rPr>
        <w:t xml:space="preserve"> RAN1</w:t>
      </w:r>
      <w:r>
        <w:rPr>
          <w:b w:val="0"/>
          <w:sz w:val="22"/>
        </w:rPr>
        <w:t xml:space="preserve"> </w:t>
      </w:r>
      <w:r w:rsidRPr="00EB7D68">
        <w:rPr>
          <w:b w:val="0"/>
          <w:sz w:val="22"/>
        </w:rPr>
        <w:t>#113</w:t>
      </w:r>
      <w:r>
        <w:rPr>
          <w:b w:val="0"/>
          <w:sz w:val="22"/>
        </w:rPr>
        <w:t xml:space="preserve"> meeting</w:t>
      </w:r>
      <w:r w:rsidRPr="00EB7D68">
        <w:rPr>
          <w:b w:val="0"/>
          <w:sz w:val="22"/>
        </w:rPr>
        <w:t>, RAN1 received a</w:t>
      </w:r>
      <w:r>
        <w:rPr>
          <w:b w:val="0"/>
          <w:sz w:val="22"/>
        </w:rPr>
        <w:t>n</w:t>
      </w:r>
      <w:r w:rsidRPr="00EB7D68">
        <w:rPr>
          <w:b w:val="0"/>
          <w:sz w:val="22"/>
        </w:rPr>
        <w:t xml:space="preserve"> LS from RAN4 on the potential support of NR over NTN for the frequency bands defined as part of FR2-NTN [1]. </w:t>
      </w:r>
      <w:r>
        <w:rPr>
          <w:b w:val="0"/>
          <w:sz w:val="22"/>
        </w:rPr>
        <w:t xml:space="preserve">Regarding this </w:t>
      </w:r>
      <w:r w:rsidR="00D51B5A">
        <w:rPr>
          <w:b w:val="0"/>
          <w:sz w:val="22"/>
        </w:rPr>
        <w:t>issue</w:t>
      </w:r>
      <w:r>
        <w:rPr>
          <w:b w:val="0"/>
          <w:sz w:val="22"/>
        </w:rPr>
        <w:t xml:space="preserve">, </w:t>
      </w:r>
      <w:r w:rsidRPr="00EB7D68">
        <w:rPr>
          <w:b w:val="0"/>
          <w:sz w:val="22"/>
        </w:rPr>
        <w:t>some</w:t>
      </w:r>
      <w:r>
        <w:rPr>
          <w:b w:val="0"/>
          <w:sz w:val="22"/>
        </w:rPr>
        <w:t xml:space="preserve"> </w:t>
      </w:r>
      <w:r w:rsidR="00D51B5A" w:rsidRPr="00EB7D68">
        <w:rPr>
          <w:b w:val="0"/>
          <w:sz w:val="22"/>
        </w:rPr>
        <w:t>aspects related to the operation of NR over NTN for frequency bands defined as part of FR2-NTN</w:t>
      </w:r>
      <w:r w:rsidR="00D51B5A">
        <w:rPr>
          <w:b w:val="0"/>
          <w:sz w:val="22"/>
        </w:rPr>
        <w:t xml:space="preserve"> </w:t>
      </w:r>
      <w:r>
        <w:rPr>
          <w:b w:val="0"/>
          <w:sz w:val="22"/>
        </w:rPr>
        <w:t>were discussed</w:t>
      </w:r>
      <w:r w:rsidR="00D51B5A">
        <w:rPr>
          <w:b w:val="0"/>
          <w:sz w:val="22"/>
        </w:rPr>
        <w:t xml:space="preserve"> in RAN1 #114 meeting [2].</w:t>
      </w:r>
      <w:r w:rsidR="000D7D5B">
        <w:rPr>
          <w:rFonts w:hint="eastAsia"/>
          <w:b w:val="0"/>
          <w:sz w:val="22"/>
        </w:rPr>
        <w:t xml:space="preserve"> </w:t>
      </w:r>
      <w:r w:rsidR="00D51B5A">
        <w:rPr>
          <w:rFonts w:hint="eastAsia"/>
          <w:b w:val="0"/>
          <w:sz w:val="22"/>
          <w:lang w:val="en-US"/>
        </w:rPr>
        <w:t>I</w:t>
      </w:r>
      <w:r w:rsidR="00D51B5A">
        <w:rPr>
          <w:b w:val="0"/>
          <w:sz w:val="22"/>
          <w:lang w:val="en-US"/>
        </w:rPr>
        <w:t xml:space="preserve">n this contribution, </w:t>
      </w:r>
      <w:r w:rsidR="00D51B5A">
        <w:rPr>
          <w:rFonts w:hint="eastAsia"/>
          <w:b w:val="0"/>
          <w:sz w:val="22"/>
          <w:lang w:val="en-US"/>
        </w:rPr>
        <w:t xml:space="preserve">we </w:t>
      </w:r>
      <w:r w:rsidR="00D51B5A">
        <w:rPr>
          <w:b w:val="0"/>
          <w:sz w:val="22"/>
          <w:lang w:val="en-US"/>
        </w:rPr>
        <w:t xml:space="preserve">discuss the PRACH </w:t>
      </w:r>
      <w:r w:rsidR="000D7D5B">
        <w:rPr>
          <w:b w:val="0"/>
          <w:sz w:val="22"/>
          <w:lang w:val="en-US"/>
        </w:rPr>
        <w:t xml:space="preserve">configuration </w:t>
      </w:r>
      <w:r w:rsidR="00D51B5A">
        <w:rPr>
          <w:b w:val="0"/>
          <w:sz w:val="22"/>
          <w:lang w:val="en-US"/>
        </w:rPr>
        <w:t xml:space="preserve">aspect related to the </w:t>
      </w:r>
      <w:r w:rsidR="00D51B5A" w:rsidRPr="00EB7D68">
        <w:rPr>
          <w:b w:val="0"/>
          <w:sz w:val="22"/>
        </w:rPr>
        <w:t>operation of NR over NTN for FR2-NTN</w:t>
      </w:r>
      <w:r w:rsidR="00D51B5A">
        <w:rPr>
          <w:b w:val="0"/>
          <w:sz w:val="22"/>
        </w:rPr>
        <w:t>.</w:t>
      </w:r>
    </w:p>
    <w:p w14:paraId="7C0D7456" w14:textId="77777777" w:rsidR="00701B27" w:rsidRPr="009A03B8" w:rsidRDefault="00701B27" w:rsidP="00701B27">
      <w:pPr>
        <w:pStyle w:val="LGTdoc1"/>
        <w:snapToGrid/>
        <w:spacing w:beforeLines="0" w:before="100" w:beforeAutospacing="1" w:line="360" w:lineRule="auto"/>
        <w:ind w:left="69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DD0555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3120F03" w14:textId="43658598" w:rsidR="00C173E2" w:rsidRPr="00C173E2" w:rsidRDefault="00306CA0" w:rsidP="00DD0555">
      <w:pPr>
        <w:pStyle w:val="2"/>
        <w:ind w:right="2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RACH configuration</w:t>
      </w:r>
    </w:p>
    <w:p w14:paraId="51C55FBB" w14:textId="2650CFC6" w:rsidR="00BD5EEE" w:rsidRDefault="00BD5EEE" w:rsidP="00BD5EEE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F</w:t>
      </w:r>
      <w:r>
        <w:rPr>
          <w:b w:val="0"/>
          <w:sz w:val="22"/>
        </w:rPr>
        <w:t>or PRACH configuration</w:t>
      </w:r>
      <w:r w:rsidR="003670B8">
        <w:rPr>
          <w:b w:val="0"/>
          <w:sz w:val="22"/>
        </w:rPr>
        <w:t xml:space="preserve"> in NR</w:t>
      </w:r>
      <w:r>
        <w:rPr>
          <w:b w:val="0"/>
          <w:sz w:val="22"/>
        </w:rPr>
        <w:t>, three tables are defined in TS 38.211 [</w:t>
      </w:r>
      <w:r w:rsidR="003A456B">
        <w:rPr>
          <w:b w:val="0"/>
          <w:sz w:val="22"/>
        </w:rPr>
        <w:t>3</w:t>
      </w:r>
      <w:r>
        <w:rPr>
          <w:b w:val="0"/>
          <w:sz w:val="22"/>
        </w:rPr>
        <w:t xml:space="preserve">] depending on </w:t>
      </w:r>
      <w:r w:rsidR="00713CD1">
        <w:rPr>
          <w:b w:val="0"/>
          <w:sz w:val="22"/>
        </w:rPr>
        <w:t xml:space="preserve">the combination of </w:t>
      </w:r>
      <w:r>
        <w:rPr>
          <w:b w:val="0"/>
          <w:sz w:val="22"/>
        </w:rPr>
        <w:t>frequency range (i.e., FR1 or FR2) and</w:t>
      </w:r>
      <w:r w:rsidR="00713CD1">
        <w:rPr>
          <w:b w:val="0"/>
          <w:sz w:val="22"/>
        </w:rPr>
        <w:t>/or</w:t>
      </w:r>
      <w:r>
        <w:rPr>
          <w:b w:val="0"/>
          <w:sz w:val="22"/>
        </w:rPr>
        <w:t xml:space="preserve"> </w:t>
      </w:r>
      <w:r w:rsidR="00713CD1">
        <w:rPr>
          <w:b w:val="0"/>
          <w:sz w:val="22"/>
        </w:rPr>
        <w:t>spectrum type</w:t>
      </w:r>
      <w:r>
        <w:rPr>
          <w:b w:val="0"/>
          <w:sz w:val="22"/>
        </w:rPr>
        <w:t xml:space="preserve"> (</w:t>
      </w:r>
      <w:r w:rsidR="002650C6">
        <w:rPr>
          <w:b w:val="0"/>
          <w:sz w:val="22"/>
        </w:rPr>
        <w:t xml:space="preserve">i.e., </w:t>
      </w:r>
      <w:r w:rsidRPr="00BD5EEE">
        <w:rPr>
          <w:b w:val="0"/>
          <w:sz w:val="22"/>
        </w:rPr>
        <w:t>paired spectrum</w:t>
      </w:r>
      <w:r>
        <w:rPr>
          <w:b w:val="0"/>
          <w:sz w:val="22"/>
        </w:rPr>
        <w:t xml:space="preserve"> (FDD) or </w:t>
      </w:r>
      <w:r w:rsidRPr="00BD5EEE">
        <w:rPr>
          <w:b w:val="0"/>
          <w:sz w:val="22"/>
        </w:rPr>
        <w:t>unpaired spectrum</w:t>
      </w:r>
      <w:r>
        <w:rPr>
          <w:b w:val="0"/>
          <w:sz w:val="22"/>
        </w:rPr>
        <w:t xml:space="preserve"> (TDD)).</w:t>
      </w:r>
    </w:p>
    <w:p w14:paraId="1BF66087" w14:textId="5DA15904" w:rsidR="00BD5EEE" w:rsidRPr="00783B69" w:rsidRDefault="00BD5EEE" w:rsidP="00783B69">
      <w:pPr>
        <w:pStyle w:val="LGTdoc1"/>
        <w:numPr>
          <w:ilvl w:val="0"/>
          <w:numId w:val="19"/>
        </w:numPr>
        <w:spacing w:beforeAutospacing="1" w:line="360" w:lineRule="auto"/>
        <w:contextualSpacing/>
        <w:rPr>
          <w:b w:val="0"/>
          <w:sz w:val="22"/>
          <w:lang w:val="en-US"/>
        </w:rPr>
      </w:pPr>
      <w:r w:rsidRPr="00783B69">
        <w:rPr>
          <w:b w:val="0"/>
          <w:sz w:val="22"/>
          <w:lang w:val="en-US"/>
        </w:rPr>
        <w:t>Table 6.3.3.2-2: Random access configurations for FR1 and paired spectrum/supplementary uplink.</w:t>
      </w:r>
    </w:p>
    <w:p w14:paraId="55E1DB7B" w14:textId="7B648964" w:rsidR="00BD5EEE" w:rsidRPr="00783B69" w:rsidRDefault="00BD5EEE" w:rsidP="00783B69">
      <w:pPr>
        <w:pStyle w:val="LGTdoc1"/>
        <w:numPr>
          <w:ilvl w:val="0"/>
          <w:numId w:val="19"/>
        </w:numPr>
        <w:spacing w:beforeAutospacing="1" w:line="360" w:lineRule="auto"/>
        <w:contextualSpacing/>
        <w:rPr>
          <w:b w:val="0"/>
          <w:sz w:val="22"/>
          <w:lang w:val="en-US"/>
        </w:rPr>
      </w:pPr>
      <w:r w:rsidRPr="00783B69">
        <w:rPr>
          <w:b w:val="0"/>
          <w:sz w:val="22"/>
          <w:lang w:val="en-US"/>
        </w:rPr>
        <w:t xml:space="preserve">Table 6.3.3.2-3: Random access configurations for FR1 and unpaired spectrum. </w:t>
      </w:r>
    </w:p>
    <w:p w14:paraId="799140C0" w14:textId="6ECB0483" w:rsidR="00BD5EEE" w:rsidRPr="00783B69" w:rsidRDefault="00BD5EEE" w:rsidP="00783B69">
      <w:pPr>
        <w:pStyle w:val="LGTdoc1"/>
        <w:numPr>
          <w:ilvl w:val="0"/>
          <w:numId w:val="19"/>
        </w:numPr>
        <w:spacing w:beforeAutospacing="1" w:line="360" w:lineRule="auto"/>
        <w:contextualSpacing/>
        <w:rPr>
          <w:b w:val="0"/>
          <w:sz w:val="22"/>
          <w:lang w:val="en-US"/>
        </w:rPr>
      </w:pPr>
      <w:r w:rsidRPr="00783B69">
        <w:rPr>
          <w:b w:val="0"/>
          <w:sz w:val="22"/>
          <w:lang w:val="en-US"/>
        </w:rPr>
        <w:t>Table 6.3.3.2-4: Random access configurations for FR2 and unpaired spectrum.</w:t>
      </w:r>
    </w:p>
    <w:p w14:paraId="146E96DD" w14:textId="629EB988" w:rsidR="00BD5EEE" w:rsidRDefault="00BD5EEE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2E64BFD" w14:textId="3AC4FDFA" w:rsidR="00783B69" w:rsidRDefault="00783B69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783B69">
        <w:rPr>
          <w:b w:val="0"/>
          <w:sz w:val="22"/>
          <w:lang w:val="en-US"/>
        </w:rPr>
        <w:t>FR2-NTN</w:t>
      </w:r>
      <w:r w:rsidR="005F4437">
        <w:rPr>
          <w:b w:val="0"/>
          <w:sz w:val="22"/>
          <w:lang w:val="en-US"/>
        </w:rPr>
        <w:t xml:space="preserve"> would be operated in </w:t>
      </w:r>
      <w:r w:rsidRPr="00783B69">
        <w:rPr>
          <w:b w:val="0"/>
          <w:sz w:val="22"/>
          <w:lang w:val="en-US"/>
        </w:rPr>
        <w:t>paired spectrum (FDD) in FR2, which is not considered in the above tables.</w:t>
      </w:r>
      <w:r>
        <w:rPr>
          <w:b w:val="0"/>
          <w:sz w:val="22"/>
          <w:lang w:val="en-US"/>
        </w:rPr>
        <w:t xml:space="preserve"> </w:t>
      </w:r>
      <w:r w:rsidRPr="00783B69">
        <w:rPr>
          <w:b w:val="0"/>
          <w:sz w:val="22"/>
          <w:lang w:val="en-US"/>
        </w:rPr>
        <w:t>Therefore,</w:t>
      </w:r>
      <w:r w:rsidR="003670B8">
        <w:rPr>
          <w:b w:val="0"/>
          <w:sz w:val="22"/>
          <w:lang w:val="en-US"/>
        </w:rPr>
        <w:t xml:space="preserve"> </w:t>
      </w:r>
      <w:r w:rsidR="003670B8" w:rsidRPr="00783B69">
        <w:rPr>
          <w:b w:val="0"/>
          <w:sz w:val="22"/>
          <w:lang w:val="en-US"/>
        </w:rPr>
        <w:t>in RAN1 #114 meeting</w:t>
      </w:r>
      <w:r w:rsidR="003670B8">
        <w:rPr>
          <w:b w:val="0"/>
          <w:sz w:val="22"/>
          <w:lang w:val="en-US"/>
        </w:rPr>
        <w:t>,</w:t>
      </w:r>
      <w:r w:rsidRPr="00783B69">
        <w:rPr>
          <w:b w:val="0"/>
          <w:sz w:val="22"/>
          <w:lang w:val="en-US"/>
        </w:rPr>
        <w:t xml:space="preserve"> it was discussed to reuse one of the three tables</w:t>
      </w:r>
      <w:r w:rsidR="003670B8">
        <w:rPr>
          <w:b w:val="0"/>
          <w:sz w:val="22"/>
          <w:lang w:val="en-US"/>
        </w:rPr>
        <w:t xml:space="preserve"> </w:t>
      </w:r>
      <w:r w:rsidR="003670B8">
        <w:rPr>
          <w:b w:val="0"/>
          <w:sz w:val="22"/>
        </w:rPr>
        <w:t>defined in TS 38.211</w:t>
      </w:r>
      <w:r w:rsidRPr="00783B69">
        <w:rPr>
          <w:b w:val="0"/>
          <w:sz w:val="22"/>
          <w:lang w:val="en-US"/>
        </w:rPr>
        <w:t>, and two</w:t>
      </w:r>
      <w:r>
        <w:rPr>
          <w:b w:val="0"/>
          <w:sz w:val="22"/>
          <w:lang w:val="en-US"/>
        </w:rPr>
        <w:t xml:space="preserve"> possible </w:t>
      </w:r>
      <w:r w:rsidRPr="00783B69">
        <w:rPr>
          <w:b w:val="0"/>
          <w:sz w:val="22"/>
          <w:lang w:val="en-US"/>
        </w:rPr>
        <w:t xml:space="preserve">alternatives </w:t>
      </w:r>
      <w:r w:rsidR="002650C6">
        <w:rPr>
          <w:b w:val="0"/>
          <w:sz w:val="22"/>
          <w:lang w:val="en-US"/>
        </w:rPr>
        <w:t>were</w:t>
      </w:r>
      <w:r>
        <w:rPr>
          <w:b w:val="0"/>
          <w:sz w:val="22"/>
          <w:lang w:val="en-US"/>
        </w:rPr>
        <w:t xml:space="preserve"> </w:t>
      </w:r>
      <w:r w:rsidR="002650C6">
        <w:rPr>
          <w:b w:val="0"/>
          <w:sz w:val="22"/>
          <w:lang w:val="en-US"/>
        </w:rPr>
        <w:t>listed</w:t>
      </w:r>
      <w:r>
        <w:rPr>
          <w:b w:val="0"/>
          <w:sz w:val="22"/>
          <w:lang w:val="en-US"/>
        </w:rPr>
        <w:t xml:space="preserve"> </w:t>
      </w:r>
      <w:r w:rsidRPr="00783B69">
        <w:rPr>
          <w:b w:val="0"/>
          <w:sz w:val="22"/>
          <w:lang w:val="en-US"/>
        </w:rPr>
        <w:t>as follows</w:t>
      </w:r>
      <w:r>
        <w:rPr>
          <w:b w:val="0"/>
          <w:sz w:val="22"/>
          <w:lang w:val="en-US"/>
        </w:rPr>
        <w:t>:</w:t>
      </w:r>
    </w:p>
    <w:p w14:paraId="25E244D0" w14:textId="30474056" w:rsidR="00007226" w:rsidRPr="00007226" w:rsidRDefault="00007226" w:rsidP="00007226">
      <w:pPr>
        <w:pStyle w:val="LGTdoc1"/>
        <w:numPr>
          <w:ilvl w:val="0"/>
          <w:numId w:val="19"/>
        </w:numPr>
        <w:spacing w:beforeAutospacing="1" w:line="360" w:lineRule="auto"/>
        <w:contextualSpacing/>
        <w:rPr>
          <w:b w:val="0"/>
          <w:sz w:val="22"/>
          <w:lang w:val="en-US"/>
        </w:rPr>
      </w:pPr>
      <w:r w:rsidRPr="00007226">
        <w:rPr>
          <w:b w:val="0"/>
          <w:sz w:val="22"/>
          <w:lang w:val="en-US"/>
        </w:rPr>
        <w:t>Alt 1: Reuse Table 6.3.3.2-2 and make it applicable to FR2-NTN without modifications (adopting the FDD aspects)</w:t>
      </w:r>
      <w:r w:rsidR="000F4006">
        <w:rPr>
          <w:b w:val="0"/>
          <w:sz w:val="22"/>
          <w:lang w:val="en-US"/>
        </w:rPr>
        <w:t>.</w:t>
      </w:r>
    </w:p>
    <w:p w14:paraId="7476B042" w14:textId="387BE99A" w:rsidR="00007226" w:rsidRPr="00007226" w:rsidRDefault="00007226" w:rsidP="00007226">
      <w:pPr>
        <w:pStyle w:val="LGTdoc1"/>
        <w:numPr>
          <w:ilvl w:val="0"/>
          <w:numId w:val="19"/>
        </w:numPr>
        <w:spacing w:beforeAutospacing="1" w:line="360" w:lineRule="auto"/>
        <w:contextualSpacing/>
        <w:rPr>
          <w:b w:val="0"/>
          <w:sz w:val="22"/>
          <w:lang w:val="en-US"/>
        </w:rPr>
      </w:pPr>
      <w:r w:rsidRPr="00007226">
        <w:rPr>
          <w:b w:val="0"/>
          <w:sz w:val="22"/>
          <w:lang w:val="en-US"/>
        </w:rPr>
        <w:t>Alt</w:t>
      </w:r>
      <w:r w:rsidR="003670B8">
        <w:rPr>
          <w:b w:val="0"/>
          <w:sz w:val="22"/>
          <w:lang w:val="en-US"/>
        </w:rPr>
        <w:t xml:space="preserve"> </w:t>
      </w:r>
      <w:r w:rsidRPr="00007226">
        <w:rPr>
          <w:b w:val="0"/>
          <w:sz w:val="22"/>
          <w:lang w:val="en-US"/>
        </w:rPr>
        <w:t>2: Reuse Table 6.3.3.2-4 and make it applicable to FR2-NTN without modification (adopting the higher frequency aspects)</w:t>
      </w:r>
      <w:r w:rsidR="000F4006">
        <w:rPr>
          <w:b w:val="0"/>
          <w:sz w:val="22"/>
          <w:lang w:val="en-US"/>
        </w:rPr>
        <w:t>.</w:t>
      </w:r>
    </w:p>
    <w:p w14:paraId="1238F2D5" w14:textId="77777777" w:rsidR="003A456B" w:rsidRPr="00007226" w:rsidRDefault="003A456B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037C4BA" w14:textId="6500FE58" w:rsidR="009D072C" w:rsidRDefault="00665F3E" w:rsidP="00124E6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>First of all</w:t>
      </w:r>
      <w:r w:rsidR="00363A53">
        <w:rPr>
          <w:b w:val="0"/>
          <w:sz w:val="22"/>
          <w:lang w:val="en-US"/>
        </w:rPr>
        <w:t>, regarding Alt 1, it proposes to reuse</w:t>
      </w:r>
      <w:r w:rsidR="00363A53" w:rsidRPr="004E3757">
        <w:rPr>
          <w:b w:val="0"/>
          <w:sz w:val="22"/>
          <w:lang w:val="en-US"/>
        </w:rPr>
        <w:t xml:space="preserve"> Table 6.3.3.2-2 and </w:t>
      </w:r>
      <w:r w:rsidR="00363A53">
        <w:rPr>
          <w:b w:val="0"/>
          <w:sz w:val="22"/>
          <w:lang w:val="en-US"/>
        </w:rPr>
        <w:t>apply</w:t>
      </w:r>
      <w:r w:rsidR="00363A53" w:rsidRPr="004E3757">
        <w:rPr>
          <w:b w:val="0"/>
          <w:sz w:val="22"/>
          <w:lang w:val="en-US"/>
        </w:rPr>
        <w:t xml:space="preserve"> to FR2-NTN without modifications</w:t>
      </w:r>
      <w:r w:rsidR="00363A53">
        <w:rPr>
          <w:rFonts w:hint="eastAsia"/>
          <w:b w:val="0"/>
          <w:sz w:val="22"/>
          <w:lang w:val="en-US"/>
        </w:rPr>
        <w:t>.</w:t>
      </w:r>
      <w:r w:rsidR="00363A53">
        <w:rPr>
          <w:b w:val="0"/>
          <w:sz w:val="22"/>
          <w:lang w:val="en-US"/>
        </w:rPr>
        <w:t xml:space="preserve"> In terms of RACH slot density, s</w:t>
      </w:r>
      <w:r w:rsidR="00363A53" w:rsidRPr="00363A53">
        <w:rPr>
          <w:b w:val="0"/>
          <w:sz w:val="22"/>
          <w:lang w:val="en-US"/>
        </w:rPr>
        <w:t xml:space="preserve">ince Table 6.3.3.2-2 is designed for </w:t>
      </w:r>
      <w:r w:rsidR="00363A53" w:rsidRPr="00783B69">
        <w:rPr>
          <w:b w:val="0"/>
          <w:sz w:val="22"/>
          <w:lang w:val="en-US"/>
        </w:rPr>
        <w:t>paired spectrum (FDD)</w:t>
      </w:r>
      <w:r w:rsidR="00363A53" w:rsidRPr="00363A53">
        <w:rPr>
          <w:b w:val="0"/>
          <w:sz w:val="22"/>
          <w:lang w:val="en-US"/>
        </w:rPr>
        <w:t>, reusing Table 6.3.3.2-2 may be desirable compared to reusing Table 6.3.3.2-4.</w:t>
      </w:r>
      <w:r w:rsidR="00363A53">
        <w:rPr>
          <w:b w:val="0"/>
          <w:sz w:val="22"/>
          <w:lang w:val="en-US"/>
        </w:rPr>
        <w:t xml:space="preserve"> </w:t>
      </w:r>
      <w:r w:rsidR="00A31204" w:rsidRPr="00A31204">
        <w:rPr>
          <w:b w:val="0"/>
          <w:sz w:val="22"/>
          <w:lang w:val="en-US"/>
        </w:rPr>
        <w:t xml:space="preserve">However, </w:t>
      </w:r>
      <w:r w:rsidR="00B56E61">
        <w:rPr>
          <w:b w:val="0"/>
          <w:sz w:val="22"/>
          <w:lang w:val="en-US"/>
        </w:rPr>
        <w:t>since</w:t>
      </w:r>
      <w:r w:rsidR="00A31204" w:rsidRPr="00A31204">
        <w:rPr>
          <w:b w:val="0"/>
          <w:sz w:val="22"/>
          <w:lang w:val="en-US"/>
        </w:rPr>
        <w:t xml:space="preserve"> reference subcarrier spacing for FR2-NTN can be defined differently from </w:t>
      </w:r>
      <w:r w:rsidR="00A31204">
        <w:rPr>
          <w:b w:val="0"/>
          <w:sz w:val="22"/>
          <w:lang w:val="en-US"/>
        </w:rPr>
        <w:t>that</w:t>
      </w:r>
      <w:r w:rsidR="00A31204" w:rsidRPr="00A31204">
        <w:rPr>
          <w:b w:val="0"/>
          <w:sz w:val="22"/>
          <w:lang w:val="en-US"/>
        </w:rPr>
        <w:t xml:space="preserve"> defined in Table 6.3.3.2-2</w:t>
      </w:r>
      <w:r w:rsidR="00B56E61">
        <w:rPr>
          <w:b w:val="0"/>
          <w:sz w:val="22"/>
          <w:lang w:val="en-US"/>
        </w:rPr>
        <w:t>, s</w:t>
      </w:r>
      <w:r w:rsidR="00A31204">
        <w:rPr>
          <w:b w:val="0"/>
          <w:sz w:val="22"/>
          <w:lang w:val="en-US"/>
        </w:rPr>
        <w:t>o</w:t>
      </w:r>
      <w:r w:rsidR="00A31204" w:rsidRPr="00A31204">
        <w:rPr>
          <w:b w:val="0"/>
          <w:sz w:val="22"/>
          <w:lang w:val="en-US"/>
        </w:rPr>
        <w:t xml:space="preserve"> it</w:t>
      </w:r>
      <w:r w:rsidR="0058016B">
        <w:rPr>
          <w:b w:val="0"/>
          <w:sz w:val="22"/>
          <w:lang w:val="en-US"/>
        </w:rPr>
        <w:t xml:space="preserve"> </w:t>
      </w:r>
      <w:r w:rsidR="009D072C">
        <w:rPr>
          <w:b w:val="0"/>
          <w:sz w:val="22"/>
          <w:lang w:val="en-US"/>
        </w:rPr>
        <w:t>is necessary to consider reinterpreting</w:t>
      </w:r>
      <w:r w:rsidR="00A31204" w:rsidRPr="00A31204">
        <w:rPr>
          <w:b w:val="0"/>
          <w:sz w:val="22"/>
          <w:lang w:val="en-US"/>
        </w:rPr>
        <w:t xml:space="preserve"> the </w:t>
      </w:r>
      <w:r w:rsidR="00AB6D04">
        <w:rPr>
          <w:b w:val="0"/>
          <w:sz w:val="22"/>
          <w:lang w:val="en-US"/>
        </w:rPr>
        <w:t>subframe number</w:t>
      </w:r>
      <w:r w:rsidR="00A31204" w:rsidRPr="00A31204">
        <w:rPr>
          <w:b w:val="0"/>
          <w:sz w:val="22"/>
          <w:lang w:val="en-US"/>
        </w:rPr>
        <w:t xml:space="preserve"> defined in the PRACH configuration </w:t>
      </w:r>
      <w:r w:rsidR="009D072C">
        <w:rPr>
          <w:b w:val="0"/>
          <w:sz w:val="22"/>
          <w:lang w:val="en-US"/>
        </w:rPr>
        <w:t>table</w:t>
      </w:r>
      <w:r w:rsidR="00D37304">
        <w:rPr>
          <w:b w:val="0"/>
          <w:sz w:val="22"/>
          <w:lang w:val="en-US"/>
        </w:rPr>
        <w:t xml:space="preserve"> </w:t>
      </w:r>
      <w:r w:rsidR="00D37304">
        <w:rPr>
          <w:rFonts w:hint="eastAsia"/>
          <w:b w:val="0"/>
          <w:sz w:val="22"/>
          <w:lang w:val="en-US"/>
        </w:rPr>
        <w:t>a</w:t>
      </w:r>
      <w:r w:rsidR="00D37304">
        <w:rPr>
          <w:b w:val="0"/>
          <w:sz w:val="22"/>
          <w:lang w:val="en-US"/>
        </w:rPr>
        <w:t>s a slot number</w:t>
      </w:r>
      <w:r w:rsidR="00A31204">
        <w:rPr>
          <w:b w:val="0"/>
          <w:sz w:val="22"/>
          <w:lang w:val="en-US"/>
        </w:rPr>
        <w:t>.</w:t>
      </w:r>
      <w:r w:rsidR="009D072C">
        <w:rPr>
          <w:b w:val="0"/>
          <w:sz w:val="22"/>
          <w:lang w:val="en-US"/>
        </w:rPr>
        <w:t xml:space="preserve"> </w:t>
      </w:r>
      <w:r w:rsidR="009D072C" w:rsidRPr="009D072C">
        <w:rPr>
          <w:b w:val="0"/>
          <w:sz w:val="22"/>
          <w:lang w:val="en-US"/>
        </w:rPr>
        <w:t xml:space="preserve">For example, </w:t>
      </w:r>
      <w:r w:rsidR="009D072C">
        <w:rPr>
          <w:b w:val="0"/>
          <w:sz w:val="22"/>
          <w:lang w:val="en-US"/>
        </w:rPr>
        <w:t>if</w:t>
      </w:r>
      <w:r w:rsidR="009D072C" w:rsidRPr="009D072C">
        <w:rPr>
          <w:b w:val="0"/>
          <w:sz w:val="22"/>
          <w:lang w:val="en-US"/>
        </w:rPr>
        <w:t xml:space="preserve"> 60 kHz SCS is defined to be used as reference subcarrier spacing in FR2-NTN, </w:t>
      </w:r>
      <w:r w:rsidR="009D072C">
        <w:rPr>
          <w:b w:val="0"/>
          <w:sz w:val="22"/>
          <w:lang w:val="en-US"/>
        </w:rPr>
        <w:t>scaling factor</w:t>
      </w:r>
      <w:r w:rsidR="009D072C" w:rsidRPr="009D072C">
        <w:rPr>
          <w:b w:val="0"/>
          <w:sz w:val="22"/>
          <w:lang w:val="en-US"/>
        </w:rPr>
        <w:t xml:space="preserve"> 4 </w:t>
      </w:r>
      <w:r w:rsidR="009D072C">
        <w:rPr>
          <w:b w:val="0"/>
          <w:sz w:val="22"/>
          <w:lang w:val="en-US"/>
        </w:rPr>
        <w:t xml:space="preserve">(=60/15) </w:t>
      </w:r>
      <w:r w:rsidR="009D072C" w:rsidRPr="009D072C">
        <w:rPr>
          <w:b w:val="0"/>
          <w:sz w:val="22"/>
          <w:lang w:val="en-US"/>
        </w:rPr>
        <w:t xml:space="preserve">may be required </w:t>
      </w:r>
      <w:r w:rsidR="002650C6">
        <w:rPr>
          <w:b w:val="0"/>
          <w:sz w:val="22"/>
          <w:lang w:val="en-US"/>
        </w:rPr>
        <w:t>for</w:t>
      </w:r>
      <w:r w:rsidR="002650C6" w:rsidRPr="009D072C">
        <w:rPr>
          <w:b w:val="0"/>
          <w:sz w:val="22"/>
          <w:lang w:val="en-US"/>
        </w:rPr>
        <w:t xml:space="preserve"> </w:t>
      </w:r>
      <w:r w:rsidR="009D072C">
        <w:rPr>
          <w:b w:val="0"/>
          <w:sz w:val="22"/>
          <w:lang w:val="en-US"/>
        </w:rPr>
        <w:t>UE</w:t>
      </w:r>
      <w:r w:rsidR="002650C6">
        <w:rPr>
          <w:b w:val="0"/>
          <w:sz w:val="22"/>
          <w:lang w:val="en-US"/>
        </w:rPr>
        <w:t xml:space="preserve"> to</w:t>
      </w:r>
      <w:r w:rsidR="009D072C">
        <w:rPr>
          <w:b w:val="0"/>
          <w:sz w:val="22"/>
          <w:lang w:val="en-US"/>
        </w:rPr>
        <w:t xml:space="preserve"> reinterpret</w:t>
      </w:r>
      <w:r w:rsidR="009D072C" w:rsidRPr="00A31204">
        <w:rPr>
          <w:b w:val="0"/>
          <w:sz w:val="22"/>
          <w:lang w:val="en-US"/>
        </w:rPr>
        <w:t xml:space="preserve"> </w:t>
      </w:r>
      <w:r w:rsidR="009D072C">
        <w:rPr>
          <w:b w:val="0"/>
          <w:sz w:val="22"/>
          <w:lang w:val="en-US"/>
        </w:rPr>
        <w:t xml:space="preserve">the </w:t>
      </w:r>
      <w:r w:rsidR="00AB6D04">
        <w:rPr>
          <w:b w:val="0"/>
          <w:sz w:val="22"/>
          <w:lang w:val="en-US"/>
        </w:rPr>
        <w:t>subframe number</w:t>
      </w:r>
      <w:r w:rsidR="00D37304">
        <w:rPr>
          <w:b w:val="0"/>
          <w:sz w:val="22"/>
          <w:lang w:val="en-US"/>
        </w:rPr>
        <w:t xml:space="preserve"> as a slot number</w:t>
      </w:r>
      <w:r w:rsidR="009D072C">
        <w:rPr>
          <w:b w:val="0"/>
          <w:sz w:val="22"/>
          <w:lang w:val="en-US"/>
        </w:rPr>
        <w:t xml:space="preserve">, </w:t>
      </w:r>
      <w:r w:rsidR="00B56E61">
        <w:rPr>
          <w:b w:val="0"/>
          <w:sz w:val="22"/>
          <w:lang w:val="en-US"/>
        </w:rPr>
        <w:t>because</w:t>
      </w:r>
      <w:r w:rsidR="009D072C">
        <w:rPr>
          <w:b w:val="0"/>
          <w:sz w:val="22"/>
          <w:lang w:val="en-US"/>
        </w:rPr>
        <w:t xml:space="preserve"> 15 kHz SCS is defined </w:t>
      </w:r>
      <w:r w:rsidR="00B56E61">
        <w:rPr>
          <w:b w:val="0"/>
          <w:sz w:val="22"/>
          <w:lang w:val="en-US"/>
        </w:rPr>
        <w:t>as reference subcarrier spacing of</w:t>
      </w:r>
      <w:r w:rsidR="009D072C">
        <w:rPr>
          <w:b w:val="0"/>
          <w:sz w:val="22"/>
          <w:lang w:val="en-US"/>
        </w:rPr>
        <w:t xml:space="preserve"> Table 6.3.3.2-2. In this example, if PRACH configuration index 87 is configured from gNB</w:t>
      </w:r>
      <w:r w:rsidR="00032FA3">
        <w:rPr>
          <w:b w:val="0"/>
          <w:sz w:val="22"/>
          <w:lang w:val="en-US"/>
        </w:rPr>
        <w:t xml:space="preserve"> as captured below</w:t>
      </w:r>
      <w:r w:rsidR="009D072C">
        <w:rPr>
          <w:b w:val="0"/>
          <w:sz w:val="22"/>
          <w:lang w:val="en-US"/>
        </w:rPr>
        <w:t>, UE can reinterpret</w:t>
      </w:r>
      <w:r w:rsidR="00AF09AE">
        <w:rPr>
          <w:b w:val="0"/>
          <w:sz w:val="22"/>
          <w:lang w:val="en-US"/>
        </w:rPr>
        <w:t xml:space="preserve"> the</w:t>
      </w:r>
      <w:r w:rsidR="009D072C">
        <w:rPr>
          <w:b w:val="0"/>
          <w:sz w:val="22"/>
          <w:lang w:val="en-US"/>
        </w:rPr>
        <w:t xml:space="preserve"> </w:t>
      </w:r>
      <w:r w:rsidR="00AB6D04" w:rsidRPr="001E0585">
        <w:rPr>
          <w:b w:val="0"/>
          <w:sz w:val="22"/>
          <w:lang w:val="en-US"/>
        </w:rPr>
        <w:t xml:space="preserve">subframe numbers </w:t>
      </w:r>
      <w:r w:rsidR="00D31DF0" w:rsidRPr="001E0585">
        <w:rPr>
          <w:b w:val="0"/>
          <w:sz w:val="22"/>
          <w:lang w:val="en-US"/>
        </w:rPr>
        <w:t>4 and 9</w:t>
      </w:r>
      <w:r w:rsidR="00D31DF0">
        <w:rPr>
          <w:b w:val="0"/>
          <w:sz w:val="22"/>
          <w:lang w:val="en-US"/>
        </w:rPr>
        <w:t xml:space="preserve"> </w:t>
      </w:r>
      <w:r w:rsidR="00AF09AE">
        <w:rPr>
          <w:b w:val="0"/>
          <w:sz w:val="22"/>
          <w:lang w:val="en-US"/>
        </w:rPr>
        <w:t>as</w:t>
      </w:r>
      <w:r w:rsidR="009D072C">
        <w:rPr>
          <w:rFonts w:hint="eastAsia"/>
          <w:b w:val="0"/>
          <w:sz w:val="22"/>
          <w:lang w:val="en-US"/>
        </w:rPr>
        <w:t xml:space="preserve"> </w:t>
      </w:r>
      <w:r w:rsidR="00AB6D04">
        <w:rPr>
          <w:b w:val="0"/>
          <w:sz w:val="22"/>
          <w:lang w:val="en-US"/>
        </w:rPr>
        <w:t xml:space="preserve">slot numbers </w:t>
      </w:r>
      <w:r w:rsidR="009D072C">
        <w:rPr>
          <w:b w:val="0"/>
          <w:sz w:val="22"/>
          <w:lang w:val="en-US"/>
        </w:rPr>
        <w:t>16 and 36 by multiplying</w:t>
      </w:r>
      <w:r w:rsidR="00AF09AE">
        <w:rPr>
          <w:b w:val="0"/>
          <w:sz w:val="22"/>
          <w:lang w:val="en-US"/>
        </w:rPr>
        <w:t xml:space="preserve"> </w:t>
      </w:r>
      <w:r w:rsidR="00D31DF0">
        <w:rPr>
          <w:b w:val="0"/>
          <w:sz w:val="22"/>
          <w:lang w:val="en-US"/>
        </w:rPr>
        <w:t>them</w:t>
      </w:r>
      <w:r w:rsidR="009D072C">
        <w:rPr>
          <w:b w:val="0"/>
          <w:sz w:val="22"/>
          <w:lang w:val="en-US"/>
        </w:rPr>
        <w:t xml:space="preserve"> by </w:t>
      </w:r>
      <w:r w:rsidR="00D31DF0">
        <w:rPr>
          <w:b w:val="0"/>
          <w:sz w:val="22"/>
          <w:lang w:val="en-US"/>
        </w:rPr>
        <w:t xml:space="preserve">a </w:t>
      </w:r>
      <w:r w:rsidR="009D072C">
        <w:rPr>
          <w:b w:val="0"/>
          <w:sz w:val="22"/>
          <w:lang w:val="en-US"/>
        </w:rPr>
        <w:t>scaling factor 4.</w:t>
      </w: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27"/>
        <w:gridCol w:w="814"/>
        <w:gridCol w:w="702"/>
        <w:gridCol w:w="2368"/>
        <w:gridCol w:w="897"/>
        <w:gridCol w:w="1027"/>
        <w:gridCol w:w="1097"/>
        <w:gridCol w:w="936"/>
      </w:tblGrid>
      <w:tr w:rsidR="0009706D" w:rsidRPr="0077437E" w14:paraId="34CB35A6" w14:textId="77777777" w:rsidTr="00E308AB">
        <w:trPr>
          <w:jc w:val="center"/>
        </w:trPr>
        <w:tc>
          <w:tcPr>
            <w:tcW w:w="1396" w:type="dxa"/>
            <w:vMerge w:val="restart"/>
            <w:shd w:val="clear" w:color="auto" w:fill="auto"/>
          </w:tcPr>
          <w:p w14:paraId="6716CDBC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  <w:r w:rsidRPr="0077437E">
              <w:rPr>
                <w:rFonts w:eastAsia="바탕"/>
              </w:rPr>
              <w:t>PRACH</w:t>
            </w:r>
            <w:r w:rsidRPr="0077437E">
              <w:rPr>
                <w:rFonts w:eastAsia="바탕"/>
              </w:rPr>
              <w:br/>
              <w:t xml:space="preserve">Configuration </w:t>
            </w:r>
            <w:r w:rsidRPr="0077437E">
              <w:rPr>
                <w:rFonts w:eastAsia="바탕"/>
              </w:rPr>
              <w:br/>
              <w:t>Index</w:t>
            </w:r>
          </w:p>
        </w:tc>
        <w:tc>
          <w:tcPr>
            <w:tcW w:w="1027" w:type="dxa"/>
            <w:vMerge w:val="restart"/>
            <w:shd w:val="clear" w:color="auto" w:fill="auto"/>
          </w:tcPr>
          <w:p w14:paraId="70DF8966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  <w:r w:rsidRPr="0077437E">
              <w:rPr>
                <w:rFonts w:eastAsia="바탕"/>
              </w:rPr>
              <w:t>Preamble format</w:t>
            </w:r>
          </w:p>
        </w:tc>
        <w:tc>
          <w:tcPr>
            <w:tcW w:w="1516" w:type="dxa"/>
            <w:gridSpan w:val="2"/>
            <w:tcBorders>
              <w:bottom w:val="nil"/>
            </w:tcBorders>
            <w:shd w:val="clear" w:color="auto" w:fill="auto"/>
          </w:tcPr>
          <w:p w14:paraId="4AA701AB" w14:textId="77777777" w:rsidR="0009706D" w:rsidRPr="0077437E" w:rsidRDefault="00FD447D" w:rsidP="00E308AB">
            <w:pPr>
              <w:pStyle w:val="TAH"/>
              <w:rPr>
                <w:rFonts w:eastAsia="바탕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바탕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</w:rPr>
                      <m:t>f</m:t>
                    </m:r>
                  </m:sub>
                </m:sSub>
                <m:r>
                  <m:rPr>
                    <m:nor/>
                  </m:rPr>
                  <w:rPr>
                    <w:rFonts w:eastAsia="바탕"/>
                  </w:rPr>
                  <m:t xml:space="preserve"> mod 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바탕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</w:rPr>
                  <m:t>y</m:t>
                </m:r>
              </m:oMath>
            </m:oMathPara>
          </w:p>
        </w:tc>
        <w:tc>
          <w:tcPr>
            <w:tcW w:w="2368" w:type="dxa"/>
            <w:vMerge w:val="restart"/>
            <w:shd w:val="clear" w:color="auto" w:fill="auto"/>
          </w:tcPr>
          <w:p w14:paraId="03F7E174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  <w:r w:rsidRPr="001E0585">
              <w:rPr>
                <w:rFonts w:eastAsia="바탕"/>
              </w:rPr>
              <w:t>Subframe number</w:t>
            </w:r>
          </w:p>
        </w:tc>
        <w:tc>
          <w:tcPr>
            <w:tcW w:w="897" w:type="dxa"/>
            <w:vMerge w:val="restart"/>
            <w:shd w:val="clear" w:color="auto" w:fill="auto"/>
          </w:tcPr>
          <w:p w14:paraId="5790DAEF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  <w:r w:rsidRPr="0077437E">
              <w:rPr>
                <w:rFonts w:eastAsia="바탕"/>
              </w:rPr>
              <w:t>Starting symbol</w:t>
            </w:r>
          </w:p>
        </w:tc>
        <w:tc>
          <w:tcPr>
            <w:tcW w:w="1027" w:type="dxa"/>
            <w:vMerge w:val="restart"/>
          </w:tcPr>
          <w:p w14:paraId="6B2BDAB6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  <w:r w:rsidRPr="0077437E">
              <w:rPr>
                <w:rFonts w:eastAsia="바탕"/>
              </w:rPr>
              <w:t>Number of PRACH slots within a subframe</w:t>
            </w:r>
          </w:p>
        </w:tc>
        <w:tc>
          <w:tcPr>
            <w:tcW w:w="1097" w:type="dxa"/>
            <w:vMerge w:val="restart"/>
          </w:tcPr>
          <w:p w14:paraId="0C727ACC" w14:textId="09E74CE6" w:rsidR="0009706D" w:rsidRPr="0077437E" w:rsidRDefault="0009706D" w:rsidP="00E308AB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72004ED9" wp14:editId="653DAB73">
                  <wp:extent cx="419100" cy="20955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437E">
              <w:rPr>
                <w:rFonts w:eastAsia="바탕"/>
              </w:rPr>
              <w:t xml:space="preserve">, number of time-domain PRACH occasions within a </w:t>
            </w:r>
            <w:r>
              <w:rPr>
                <w:rFonts w:eastAsia="바탕"/>
              </w:rPr>
              <w:t>P</w:t>
            </w:r>
            <w:r w:rsidRPr="0077437E">
              <w:rPr>
                <w:rFonts w:eastAsia="바탕"/>
              </w:rPr>
              <w:t>RACH slot</w:t>
            </w:r>
          </w:p>
        </w:tc>
        <w:tc>
          <w:tcPr>
            <w:tcW w:w="936" w:type="dxa"/>
            <w:vMerge w:val="restart"/>
          </w:tcPr>
          <w:p w14:paraId="1EDD8F32" w14:textId="18C54CF8" w:rsidR="0009706D" w:rsidRPr="0077437E" w:rsidRDefault="0009706D" w:rsidP="00E308AB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10DDCCA7" wp14:editId="14E46361">
                  <wp:extent cx="266700" cy="20955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437E">
              <w:rPr>
                <w:rFonts w:eastAsia="바탕"/>
              </w:rPr>
              <w:t>,</w:t>
            </w:r>
            <w:r w:rsidRPr="0077437E">
              <w:rPr>
                <w:rFonts w:eastAsia="바탕"/>
              </w:rPr>
              <w:br/>
              <w:t>PRACH duration</w:t>
            </w:r>
          </w:p>
        </w:tc>
      </w:tr>
      <w:tr w:rsidR="0009706D" w:rsidRPr="0077437E" w14:paraId="17A4EA80" w14:textId="77777777" w:rsidTr="00E308AB">
        <w:trPr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72D5FBE4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14:paraId="162D4AD3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814" w:type="dxa"/>
            <w:tcBorders>
              <w:top w:val="nil"/>
            </w:tcBorders>
            <w:shd w:val="clear" w:color="auto" w:fill="auto"/>
            <w:vAlign w:val="center"/>
          </w:tcPr>
          <w:p w14:paraId="629C30D4" w14:textId="113FF302" w:rsidR="0009706D" w:rsidRPr="0077437E" w:rsidRDefault="0009706D" w:rsidP="00E308AB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position w:val="-6"/>
                <w:lang w:val="en-US" w:eastAsia="ko-KR"/>
              </w:rPr>
              <w:drawing>
                <wp:inline distT="0" distB="0" distL="0" distR="0" wp14:anchorId="2800D2D9" wp14:editId="1D3B9140">
                  <wp:extent cx="114300" cy="127000"/>
                  <wp:effectExtent l="0" t="0" r="0" b="635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nil"/>
            </w:tcBorders>
            <w:shd w:val="clear" w:color="auto" w:fill="auto"/>
            <w:vAlign w:val="center"/>
          </w:tcPr>
          <w:p w14:paraId="1D0A2D5A" w14:textId="1D33D325" w:rsidR="0009706D" w:rsidRPr="0077437E" w:rsidRDefault="0009706D" w:rsidP="00E308AB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position w:val="-10"/>
                <w:lang w:val="en-US" w:eastAsia="ko-KR"/>
              </w:rPr>
              <w:drawing>
                <wp:inline distT="0" distB="0" distL="0" distR="0" wp14:anchorId="42A5A0CE" wp14:editId="4EE0B2AF">
                  <wp:extent cx="127000" cy="165100"/>
                  <wp:effectExtent l="0" t="0" r="6350" b="635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Merge/>
            <w:shd w:val="clear" w:color="auto" w:fill="auto"/>
          </w:tcPr>
          <w:p w14:paraId="2A7AA499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14:paraId="3E093F53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1027" w:type="dxa"/>
            <w:vMerge/>
          </w:tcPr>
          <w:p w14:paraId="03CF2068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1097" w:type="dxa"/>
            <w:vMerge/>
          </w:tcPr>
          <w:p w14:paraId="3C1AF3AC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  <w:tc>
          <w:tcPr>
            <w:tcW w:w="936" w:type="dxa"/>
            <w:vMerge/>
          </w:tcPr>
          <w:p w14:paraId="7102E8AB" w14:textId="77777777" w:rsidR="0009706D" w:rsidRPr="0077437E" w:rsidRDefault="0009706D" w:rsidP="00E308AB">
            <w:pPr>
              <w:pStyle w:val="TAH"/>
              <w:rPr>
                <w:rFonts w:eastAsia="바탕"/>
              </w:rPr>
            </w:pPr>
          </w:p>
        </w:tc>
      </w:tr>
      <w:tr w:rsidR="0009706D" w:rsidRPr="0077437E" w14:paraId="4EE6730F" w14:textId="77777777" w:rsidTr="000C258D">
        <w:trPr>
          <w:jc w:val="center"/>
        </w:trPr>
        <w:tc>
          <w:tcPr>
            <w:tcW w:w="1396" w:type="dxa"/>
            <w:shd w:val="clear" w:color="auto" w:fill="auto"/>
          </w:tcPr>
          <w:p w14:paraId="2CC4E613" w14:textId="21B4C3D0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87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8BB3BE0" w14:textId="65CE45DD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A1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F4B31A" w14:textId="0151789A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16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0387C52A" w14:textId="7CD0E86E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AA39223" w14:textId="28C5BDCD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4,9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4029ECD5" w14:textId="7138A234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0</w:t>
            </w:r>
          </w:p>
        </w:tc>
        <w:tc>
          <w:tcPr>
            <w:tcW w:w="1027" w:type="dxa"/>
            <w:vAlign w:val="center"/>
          </w:tcPr>
          <w:p w14:paraId="236F6FFD" w14:textId="16AF8B0F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1</w:t>
            </w:r>
          </w:p>
        </w:tc>
        <w:tc>
          <w:tcPr>
            <w:tcW w:w="1097" w:type="dxa"/>
            <w:vAlign w:val="center"/>
          </w:tcPr>
          <w:p w14:paraId="0527F0C4" w14:textId="4A055457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6</w:t>
            </w:r>
          </w:p>
        </w:tc>
        <w:tc>
          <w:tcPr>
            <w:tcW w:w="936" w:type="dxa"/>
          </w:tcPr>
          <w:p w14:paraId="684C36FD" w14:textId="06DA1607" w:rsidR="0009706D" w:rsidRPr="0077437E" w:rsidRDefault="0009706D" w:rsidP="0009706D">
            <w:pPr>
              <w:pStyle w:val="TAC"/>
              <w:rPr>
                <w:rFonts w:eastAsia="바탕"/>
              </w:rPr>
            </w:pPr>
            <w:r w:rsidRPr="0077437E">
              <w:rPr>
                <w:rFonts w:eastAsia="바탕"/>
              </w:rPr>
              <w:t>2</w:t>
            </w:r>
          </w:p>
        </w:tc>
      </w:tr>
    </w:tbl>
    <w:p w14:paraId="5FB9986C" w14:textId="064C94BF" w:rsidR="001D6660" w:rsidRDefault="001D6660" w:rsidP="001D6660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10921BF" w14:textId="21B71876" w:rsidR="00665F3E" w:rsidRDefault="00665F3E" w:rsidP="00665F3E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O</w:t>
      </w:r>
      <w:r>
        <w:rPr>
          <w:b w:val="0"/>
          <w:sz w:val="22"/>
          <w:lang w:val="en-US"/>
        </w:rPr>
        <w:t>n the other hands, r</w:t>
      </w:r>
      <w:r w:rsidRPr="004E3757">
        <w:rPr>
          <w:b w:val="0"/>
          <w:sz w:val="22"/>
          <w:lang w:val="en-US"/>
        </w:rPr>
        <w:t xml:space="preserve">egarding Alt </w:t>
      </w:r>
      <w:r>
        <w:rPr>
          <w:b w:val="0"/>
          <w:sz w:val="22"/>
          <w:lang w:val="en-US"/>
        </w:rPr>
        <w:t>2</w:t>
      </w:r>
      <w:r w:rsidRPr="004E3757">
        <w:rPr>
          <w:b w:val="0"/>
          <w:sz w:val="22"/>
          <w:lang w:val="en-US"/>
        </w:rPr>
        <w:t>, it proposes to reuse Table 6.3.3.2-</w:t>
      </w:r>
      <w:r>
        <w:rPr>
          <w:b w:val="0"/>
          <w:sz w:val="22"/>
          <w:lang w:val="en-US"/>
        </w:rPr>
        <w:t>4</w:t>
      </w:r>
      <w:r w:rsidRPr="004E3757">
        <w:rPr>
          <w:b w:val="0"/>
          <w:sz w:val="22"/>
          <w:lang w:val="en-US"/>
        </w:rPr>
        <w:t xml:space="preserve"> and apply to FR2-NTN without modifications.</w:t>
      </w:r>
      <w:r>
        <w:rPr>
          <w:b w:val="0"/>
          <w:sz w:val="22"/>
          <w:lang w:val="en-US"/>
        </w:rPr>
        <w:t xml:space="preserve"> Since </w:t>
      </w:r>
      <w:r w:rsidRPr="00007226">
        <w:rPr>
          <w:b w:val="0"/>
          <w:sz w:val="22"/>
          <w:lang w:val="en-US"/>
        </w:rPr>
        <w:t xml:space="preserve">Table 6.3.3.2-4 </w:t>
      </w:r>
      <w:r>
        <w:rPr>
          <w:b w:val="0"/>
          <w:sz w:val="22"/>
          <w:lang w:val="en-US"/>
        </w:rPr>
        <w:t>is designed for FR2</w:t>
      </w:r>
      <w:r w:rsidRPr="00007226">
        <w:rPr>
          <w:b w:val="0"/>
          <w:sz w:val="22"/>
          <w:lang w:val="en-US"/>
        </w:rPr>
        <w:t xml:space="preserve">, so </w:t>
      </w:r>
      <w:r>
        <w:rPr>
          <w:b w:val="0"/>
          <w:sz w:val="22"/>
          <w:lang w:val="en-US"/>
        </w:rPr>
        <w:t>it has</w:t>
      </w:r>
      <w:r w:rsidRPr="00007226">
        <w:rPr>
          <w:b w:val="0"/>
          <w:sz w:val="22"/>
          <w:lang w:val="en-US"/>
        </w:rPr>
        <w:t xml:space="preserve"> an advantage that reference subcarrier spacing </w:t>
      </w:r>
      <w:r>
        <w:rPr>
          <w:b w:val="0"/>
          <w:sz w:val="22"/>
          <w:lang w:val="en-US"/>
        </w:rPr>
        <w:t>for</w:t>
      </w:r>
      <w:r w:rsidRPr="00363A53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FR2-NTN</w:t>
      </w:r>
      <w:r>
        <w:rPr>
          <w:rFonts w:hint="eastAsia"/>
          <w:b w:val="0"/>
          <w:sz w:val="22"/>
          <w:lang w:val="en-US"/>
        </w:rPr>
        <w:t xml:space="preserve"> </w:t>
      </w:r>
      <w:r w:rsidR="00D31DF0">
        <w:rPr>
          <w:b w:val="0"/>
          <w:sz w:val="22"/>
          <w:lang w:val="en-US"/>
        </w:rPr>
        <w:t>can</w:t>
      </w:r>
      <w:r>
        <w:rPr>
          <w:b w:val="0"/>
          <w:sz w:val="22"/>
          <w:lang w:val="en-US"/>
        </w:rPr>
        <w:t xml:space="preserve"> be the same as the </w:t>
      </w:r>
      <w:r>
        <w:rPr>
          <w:rFonts w:hint="eastAsia"/>
          <w:b w:val="0"/>
          <w:sz w:val="22"/>
          <w:lang w:val="en-US"/>
        </w:rPr>
        <w:t>refere</w:t>
      </w:r>
      <w:r>
        <w:rPr>
          <w:b w:val="0"/>
          <w:sz w:val="22"/>
          <w:lang w:val="en-US"/>
        </w:rPr>
        <w:t xml:space="preserve">nce subcarrier spacing </w:t>
      </w:r>
      <w:r>
        <w:rPr>
          <w:rFonts w:hint="eastAsia"/>
          <w:b w:val="0"/>
          <w:sz w:val="22"/>
          <w:lang w:val="en-US"/>
        </w:rPr>
        <w:t xml:space="preserve">defined </w:t>
      </w:r>
      <w:r>
        <w:rPr>
          <w:b w:val="0"/>
          <w:sz w:val="22"/>
          <w:lang w:val="en-US"/>
        </w:rPr>
        <w:t>in Table 6.3.3.2-4.</w:t>
      </w:r>
      <w:r w:rsidRPr="00007226">
        <w:t xml:space="preserve"> </w:t>
      </w:r>
      <w:r w:rsidRPr="00007226">
        <w:rPr>
          <w:b w:val="0"/>
          <w:sz w:val="22"/>
          <w:lang w:val="en-US"/>
        </w:rPr>
        <w:t>However, Table 6.3.3.2-4 is designed for unpaired spectrum (TDD), so if Table 6.3.3.2-4 is reused without modification, the RACH slot</w:t>
      </w:r>
      <w:r>
        <w:rPr>
          <w:b w:val="0"/>
          <w:sz w:val="22"/>
          <w:lang w:val="en-US"/>
        </w:rPr>
        <w:t xml:space="preserve"> </w:t>
      </w:r>
      <w:r w:rsidRPr="00007226">
        <w:rPr>
          <w:b w:val="0"/>
          <w:sz w:val="22"/>
          <w:lang w:val="en-US"/>
        </w:rPr>
        <w:t xml:space="preserve">density may not be suitable for </w:t>
      </w:r>
      <w:r w:rsidRPr="00783B69">
        <w:rPr>
          <w:b w:val="0"/>
          <w:sz w:val="22"/>
          <w:lang w:val="en-US"/>
        </w:rPr>
        <w:t>paired spectrum (FDD)</w:t>
      </w:r>
      <w:r w:rsidRPr="00007226">
        <w:rPr>
          <w:b w:val="0"/>
          <w:sz w:val="22"/>
          <w:lang w:val="en-US"/>
        </w:rPr>
        <w:t>.</w:t>
      </w:r>
    </w:p>
    <w:p w14:paraId="0CF59069" w14:textId="4B2FFE09" w:rsidR="006E6B4F" w:rsidRDefault="006E6B4F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6E6B4F">
        <w:rPr>
          <w:b w:val="0"/>
          <w:sz w:val="22"/>
          <w:lang w:val="en-US"/>
        </w:rPr>
        <w:t xml:space="preserve">In conclusion, </w:t>
      </w:r>
      <w:r>
        <w:rPr>
          <w:b w:val="0"/>
          <w:sz w:val="22"/>
          <w:lang w:val="en-US"/>
        </w:rPr>
        <w:t>both alternatives can be</w:t>
      </w:r>
      <w:r w:rsidR="00D31DF0">
        <w:rPr>
          <w:b w:val="0"/>
          <w:sz w:val="22"/>
          <w:lang w:val="en-US"/>
        </w:rPr>
        <w:t xml:space="preserve"> applied</w:t>
      </w:r>
      <w:r w:rsidR="00D64495">
        <w:rPr>
          <w:b w:val="0"/>
          <w:sz w:val="22"/>
          <w:lang w:val="en-US"/>
        </w:rPr>
        <w:t xml:space="preserve"> for FR2-NTN</w:t>
      </w:r>
      <w:r>
        <w:rPr>
          <w:b w:val="0"/>
          <w:sz w:val="22"/>
          <w:lang w:val="en-US"/>
        </w:rPr>
        <w:t xml:space="preserve">, but </w:t>
      </w:r>
      <w:r w:rsidRPr="006E6B4F">
        <w:rPr>
          <w:b w:val="0"/>
          <w:sz w:val="22"/>
          <w:lang w:val="en-US"/>
        </w:rPr>
        <w:t xml:space="preserve">we </w:t>
      </w:r>
      <w:r>
        <w:rPr>
          <w:b w:val="0"/>
          <w:sz w:val="22"/>
          <w:lang w:val="en-US"/>
        </w:rPr>
        <w:t xml:space="preserve">prefer </w:t>
      </w:r>
      <w:r w:rsidR="00D64495">
        <w:rPr>
          <w:b w:val="0"/>
          <w:sz w:val="22"/>
          <w:lang w:val="en-US"/>
        </w:rPr>
        <w:t>Alt 1 (</w:t>
      </w:r>
      <w:r w:rsidRPr="006E6B4F">
        <w:rPr>
          <w:b w:val="0"/>
          <w:sz w:val="22"/>
          <w:lang w:val="en-US"/>
        </w:rPr>
        <w:t>reus</w:t>
      </w:r>
      <w:r w:rsidR="00D64495">
        <w:rPr>
          <w:b w:val="0"/>
          <w:sz w:val="22"/>
          <w:lang w:val="en-US"/>
        </w:rPr>
        <w:t xml:space="preserve">e </w:t>
      </w:r>
      <w:r w:rsidRPr="006E6B4F">
        <w:rPr>
          <w:b w:val="0"/>
          <w:sz w:val="22"/>
          <w:lang w:val="en-US"/>
        </w:rPr>
        <w:t>Table 6.3.3.2-2</w:t>
      </w:r>
      <w:r w:rsidR="00D64495">
        <w:rPr>
          <w:b w:val="0"/>
          <w:sz w:val="22"/>
          <w:lang w:val="en-US"/>
        </w:rPr>
        <w:t>)</w:t>
      </w:r>
      <w:r w:rsidRPr="006E6B4F">
        <w:rPr>
          <w:b w:val="0"/>
          <w:sz w:val="22"/>
          <w:lang w:val="en-US"/>
        </w:rPr>
        <w:t>. In addition, we propose an additional UE</w:t>
      </w:r>
      <w:r w:rsidR="00665F3E">
        <w:rPr>
          <w:b w:val="0"/>
          <w:sz w:val="22"/>
          <w:lang w:val="en-US"/>
        </w:rPr>
        <w:t xml:space="preserve"> behavior</w:t>
      </w:r>
      <w:r w:rsidRPr="006E6B4F">
        <w:rPr>
          <w:b w:val="0"/>
          <w:sz w:val="22"/>
          <w:lang w:val="en-US"/>
        </w:rPr>
        <w:t xml:space="preserve"> for </w:t>
      </w:r>
      <w:r w:rsidR="00665F3E">
        <w:rPr>
          <w:b w:val="0"/>
          <w:sz w:val="22"/>
          <w:lang w:val="en-US"/>
        </w:rPr>
        <w:t>reinterpret</w:t>
      </w:r>
      <w:r w:rsidR="00665F3E">
        <w:rPr>
          <w:rFonts w:hint="eastAsia"/>
          <w:b w:val="0"/>
          <w:sz w:val="22"/>
          <w:lang w:val="en-US"/>
        </w:rPr>
        <w:t xml:space="preserve">ing </w:t>
      </w:r>
      <w:r w:rsidRPr="006E6B4F">
        <w:rPr>
          <w:b w:val="0"/>
          <w:sz w:val="22"/>
          <w:lang w:val="en-US"/>
        </w:rPr>
        <w:t xml:space="preserve">the </w:t>
      </w:r>
      <w:r w:rsidR="00AB6D04">
        <w:rPr>
          <w:b w:val="0"/>
          <w:sz w:val="22"/>
          <w:lang w:val="en-US"/>
        </w:rPr>
        <w:t>subframe number</w:t>
      </w:r>
      <w:r w:rsidRPr="006E6B4F">
        <w:rPr>
          <w:b w:val="0"/>
          <w:sz w:val="22"/>
          <w:lang w:val="en-US"/>
        </w:rPr>
        <w:t xml:space="preserve"> of Table 6.3.3.2-2.</w:t>
      </w:r>
    </w:p>
    <w:p w14:paraId="2B70DC58" w14:textId="23C1DAD6" w:rsidR="00194B0E" w:rsidRDefault="00194B0E" w:rsidP="00FC1F3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4E9F5AA" w14:textId="305D21E3" w:rsidR="004D3319" w:rsidRDefault="00194B0E" w:rsidP="00E1385A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207C62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207C62">
        <w:rPr>
          <w:sz w:val="22"/>
          <w:lang w:val="en-US"/>
        </w:rPr>
        <w:t>.</w:t>
      </w:r>
      <w:r w:rsidRPr="00194B0E">
        <w:t xml:space="preserve"> </w:t>
      </w:r>
      <w:r w:rsidR="00E1385A" w:rsidRPr="00E1385A">
        <w:rPr>
          <w:sz w:val="22"/>
          <w:lang w:val="en-US"/>
        </w:rPr>
        <w:t xml:space="preserve">Reuse Table 6.3.3.2-2 and </w:t>
      </w:r>
      <w:r w:rsidR="00E1385A">
        <w:rPr>
          <w:sz w:val="22"/>
          <w:lang w:val="en-US"/>
        </w:rPr>
        <w:t>apply</w:t>
      </w:r>
      <w:r w:rsidR="00E1385A" w:rsidRPr="00E1385A">
        <w:rPr>
          <w:sz w:val="22"/>
          <w:lang w:val="en-US"/>
        </w:rPr>
        <w:t xml:space="preserve"> to FR2-NTN</w:t>
      </w:r>
      <w:r w:rsidR="00E1385A">
        <w:rPr>
          <w:sz w:val="22"/>
          <w:lang w:val="en-US"/>
        </w:rPr>
        <w:t>, and UE</w:t>
      </w:r>
      <w:r w:rsidR="00E1385A" w:rsidRPr="00E1385A">
        <w:rPr>
          <w:sz w:val="22"/>
          <w:lang w:val="en-US"/>
        </w:rPr>
        <w:t xml:space="preserve"> </w:t>
      </w:r>
      <w:r w:rsidR="00665F3E" w:rsidRPr="00665F3E">
        <w:rPr>
          <w:sz w:val="22"/>
          <w:lang w:val="en-US"/>
        </w:rPr>
        <w:t xml:space="preserve">behavior for reinterpreting </w:t>
      </w:r>
      <w:r w:rsidR="00E1385A" w:rsidRPr="00E1385A">
        <w:rPr>
          <w:sz w:val="22"/>
          <w:lang w:val="en-US"/>
        </w:rPr>
        <w:t>the slot index of Table 6.3.3.2-2</w:t>
      </w:r>
      <w:r w:rsidRPr="00194B0E">
        <w:rPr>
          <w:sz w:val="22"/>
          <w:lang w:val="en-US"/>
        </w:rPr>
        <w:t xml:space="preserve"> </w:t>
      </w:r>
      <w:r w:rsidR="00E1385A">
        <w:rPr>
          <w:sz w:val="22"/>
          <w:lang w:val="en-US"/>
        </w:rPr>
        <w:t>is supported.</w:t>
      </w:r>
    </w:p>
    <w:p w14:paraId="20FFB011" w14:textId="0FDCABE1" w:rsidR="00E1385A" w:rsidRDefault="00E1385A" w:rsidP="00E1385A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S</w:t>
      </w:r>
      <w:r w:rsidRPr="00E1385A">
        <w:rPr>
          <w:sz w:val="22"/>
          <w:lang w:val="en-US"/>
        </w:rPr>
        <w:t>caling factor (</w:t>
      </w:r>
      <w:r w:rsidR="00BC163C">
        <w:rPr>
          <w:sz w:val="22"/>
          <w:lang w:val="en-US"/>
        </w:rPr>
        <w:t>=</w:t>
      </w:r>
      <w:r w:rsidR="00BA7A68">
        <w:rPr>
          <w:sz w:val="22"/>
          <w:lang w:val="en-US"/>
        </w:rPr>
        <w:t xml:space="preserve"> </w:t>
      </w:r>
      <w:r w:rsidR="00BA7A68" w:rsidRPr="00E1385A">
        <w:rPr>
          <w:sz w:val="22"/>
          <w:lang w:val="en-US"/>
        </w:rPr>
        <w:t xml:space="preserve">reference subcarrier spacing </w:t>
      </w:r>
      <w:r w:rsidR="00665F3E">
        <w:rPr>
          <w:sz w:val="22"/>
          <w:lang w:val="en-US"/>
        </w:rPr>
        <w:t>for</w:t>
      </w:r>
      <w:r w:rsidR="00BA7A68" w:rsidRPr="00E1385A">
        <w:rPr>
          <w:sz w:val="22"/>
          <w:lang w:val="en-US"/>
        </w:rPr>
        <w:t xml:space="preserve"> FR2-NTN</w:t>
      </w:r>
      <w:r w:rsidR="001671A0">
        <w:rPr>
          <w:sz w:val="22"/>
          <w:lang w:val="en-US"/>
        </w:rPr>
        <w:t xml:space="preserve"> </w:t>
      </w:r>
      <w:r w:rsidRPr="00E1385A">
        <w:rPr>
          <w:sz w:val="22"/>
          <w:lang w:val="en-US"/>
        </w:rPr>
        <w:t>/</w:t>
      </w:r>
      <w:r w:rsidR="001671A0">
        <w:rPr>
          <w:sz w:val="22"/>
          <w:lang w:val="en-US"/>
        </w:rPr>
        <w:t xml:space="preserve"> </w:t>
      </w:r>
      <w:r w:rsidR="00BA7A68" w:rsidRPr="00E1385A">
        <w:rPr>
          <w:sz w:val="22"/>
          <w:lang w:val="en-US"/>
        </w:rPr>
        <w:t xml:space="preserve">reference subcarrier spacing </w:t>
      </w:r>
      <w:r w:rsidR="00665F3E">
        <w:rPr>
          <w:sz w:val="22"/>
          <w:lang w:val="en-US"/>
        </w:rPr>
        <w:t>for</w:t>
      </w:r>
      <w:r w:rsidR="00BA7A68" w:rsidRPr="00E1385A">
        <w:rPr>
          <w:sz w:val="22"/>
          <w:lang w:val="en-US"/>
        </w:rPr>
        <w:t xml:space="preserve"> </w:t>
      </w:r>
      <w:r w:rsidR="00BA7A68">
        <w:rPr>
          <w:sz w:val="22"/>
          <w:lang w:val="en-US"/>
        </w:rPr>
        <w:t>Table 6.3.3.2-2</w:t>
      </w:r>
      <w:r w:rsidRPr="00E1385A">
        <w:rPr>
          <w:sz w:val="22"/>
          <w:lang w:val="en-US"/>
        </w:rPr>
        <w:t xml:space="preserve">) </w:t>
      </w:r>
      <w:r w:rsidR="001671A0">
        <w:rPr>
          <w:sz w:val="22"/>
          <w:lang w:val="en-US"/>
        </w:rPr>
        <w:t>is</w:t>
      </w:r>
      <w:r w:rsidRPr="00E1385A">
        <w:rPr>
          <w:sz w:val="22"/>
          <w:lang w:val="en-US"/>
        </w:rPr>
        <w:t xml:space="preserve"> </w:t>
      </w:r>
      <w:r w:rsidR="00BC163C">
        <w:rPr>
          <w:sz w:val="22"/>
          <w:lang w:val="en-US"/>
        </w:rPr>
        <w:t>defined</w:t>
      </w:r>
      <w:r w:rsidR="00665F3E">
        <w:rPr>
          <w:sz w:val="22"/>
          <w:lang w:val="en-US"/>
        </w:rPr>
        <w:t>.</w:t>
      </w:r>
    </w:p>
    <w:p w14:paraId="421B3264" w14:textId="19F7FDBA" w:rsidR="00BC163C" w:rsidRDefault="00BC163C" w:rsidP="00E1385A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  <w:lang w:val="en-US"/>
        </w:rPr>
      </w:pPr>
      <w:r w:rsidRPr="00BC163C">
        <w:rPr>
          <w:sz w:val="22"/>
          <w:lang w:val="en-US"/>
        </w:rPr>
        <w:t xml:space="preserve">UE can reinterpret the </w:t>
      </w:r>
      <w:r w:rsidR="00AB6D04" w:rsidRPr="00AB6D04">
        <w:rPr>
          <w:sz w:val="22"/>
          <w:lang w:val="en-US"/>
        </w:rPr>
        <w:t xml:space="preserve">subframe number </w:t>
      </w:r>
      <w:r w:rsidR="00CB0A29">
        <w:rPr>
          <w:sz w:val="22"/>
          <w:lang w:val="en-US"/>
        </w:rPr>
        <w:t xml:space="preserve">(A) </w:t>
      </w:r>
      <w:r w:rsidRPr="00BC163C">
        <w:rPr>
          <w:sz w:val="22"/>
          <w:lang w:val="en-US"/>
        </w:rPr>
        <w:t xml:space="preserve">as </w:t>
      </w:r>
      <w:r w:rsidR="00AB6D04" w:rsidRPr="00AB6D04">
        <w:rPr>
          <w:sz w:val="22"/>
          <w:lang w:val="en-US"/>
        </w:rPr>
        <w:t xml:space="preserve">slot number </w:t>
      </w:r>
      <w:r w:rsidR="00665F3E">
        <w:rPr>
          <w:sz w:val="22"/>
          <w:lang w:val="en-US"/>
        </w:rPr>
        <w:t>(</w:t>
      </w:r>
      <w:r>
        <w:rPr>
          <w:sz w:val="22"/>
          <w:lang w:val="en-US"/>
        </w:rPr>
        <w:t>A*B</w:t>
      </w:r>
      <w:r w:rsidR="00665F3E">
        <w:rPr>
          <w:sz w:val="22"/>
          <w:lang w:val="en-US"/>
        </w:rPr>
        <w:t>)</w:t>
      </w:r>
      <w:r w:rsidRPr="00BC163C">
        <w:rPr>
          <w:sz w:val="22"/>
          <w:lang w:val="en-US"/>
        </w:rPr>
        <w:t xml:space="preserve"> by multiplying </w:t>
      </w:r>
      <w:r w:rsidR="00CB0A29">
        <w:rPr>
          <w:sz w:val="22"/>
          <w:lang w:val="en-US"/>
        </w:rPr>
        <w:t xml:space="preserve">it </w:t>
      </w:r>
      <w:r w:rsidRPr="00BC163C">
        <w:rPr>
          <w:sz w:val="22"/>
          <w:lang w:val="en-US"/>
        </w:rPr>
        <w:t xml:space="preserve">by the scaling factor </w:t>
      </w:r>
      <w:r w:rsidR="00665F3E">
        <w:rPr>
          <w:sz w:val="22"/>
          <w:lang w:val="en-US"/>
        </w:rPr>
        <w:t>(</w:t>
      </w:r>
      <w:r>
        <w:rPr>
          <w:sz w:val="22"/>
          <w:lang w:val="en-US"/>
        </w:rPr>
        <w:t>B</w:t>
      </w:r>
      <w:r w:rsidR="00665F3E">
        <w:rPr>
          <w:sz w:val="22"/>
          <w:lang w:val="en-US"/>
        </w:rPr>
        <w:t>).</w:t>
      </w:r>
    </w:p>
    <w:p w14:paraId="54EB038F" w14:textId="77777777" w:rsidR="008407D6" w:rsidRPr="006C602A" w:rsidRDefault="008407D6" w:rsidP="006C602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lastRenderedPageBreak/>
        <w:t>Conclusion</w:t>
      </w:r>
    </w:p>
    <w:p w14:paraId="4CAEA281" w14:textId="48477C86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E1385A">
        <w:rPr>
          <w:b w:val="0"/>
          <w:sz w:val="22"/>
          <w:lang w:val="en-US"/>
        </w:rPr>
        <w:t xml:space="preserve">the </w:t>
      </w:r>
      <w:r w:rsidR="008F549A">
        <w:rPr>
          <w:b w:val="0"/>
          <w:sz w:val="22"/>
          <w:lang w:val="en-US"/>
        </w:rPr>
        <w:t>PRACH configuration aspect</w:t>
      </w:r>
      <w:r w:rsidR="00E1385A">
        <w:rPr>
          <w:b w:val="0"/>
          <w:sz w:val="22"/>
          <w:lang w:val="en-US"/>
        </w:rPr>
        <w:t xml:space="preserve"> related to the </w:t>
      </w:r>
      <w:r w:rsidR="00E1385A" w:rsidRPr="00EB7D68">
        <w:rPr>
          <w:b w:val="0"/>
          <w:sz w:val="22"/>
        </w:rPr>
        <w:t>operation of NR over NTN for FR2-NTN</w:t>
      </w:r>
      <w:r w:rsidR="00984136">
        <w:rPr>
          <w:b w:val="0"/>
          <w:sz w:val="22"/>
          <w:lang w:val="en-US"/>
        </w:rPr>
        <w:t>, we have following proposal.</w:t>
      </w:r>
    </w:p>
    <w:p w14:paraId="4D373403" w14:textId="29FAE20C" w:rsidR="003D40A9" w:rsidRDefault="003D40A9" w:rsidP="00AE7A0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87B652F" w14:textId="7CA64A91" w:rsidR="00BC7984" w:rsidRDefault="00BC7984" w:rsidP="00BC798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207C62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207C62">
        <w:rPr>
          <w:sz w:val="22"/>
          <w:lang w:val="en-US"/>
        </w:rPr>
        <w:t>.</w:t>
      </w:r>
      <w:r w:rsidRPr="00194B0E">
        <w:t xml:space="preserve"> </w:t>
      </w:r>
      <w:r w:rsidRPr="00E1385A">
        <w:rPr>
          <w:sz w:val="22"/>
          <w:lang w:val="en-US"/>
        </w:rPr>
        <w:t xml:space="preserve">Reuse Table 6.3.3.2-2 and </w:t>
      </w:r>
      <w:r>
        <w:rPr>
          <w:sz w:val="22"/>
          <w:lang w:val="en-US"/>
        </w:rPr>
        <w:t>apply</w:t>
      </w:r>
      <w:r w:rsidRPr="00E1385A">
        <w:rPr>
          <w:sz w:val="22"/>
          <w:lang w:val="en-US"/>
        </w:rPr>
        <w:t xml:space="preserve"> to FR2-NTN</w:t>
      </w:r>
      <w:r>
        <w:rPr>
          <w:sz w:val="22"/>
          <w:lang w:val="en-US"/>
        </w:rPr>
        <w:t>, and UE</w:t>
      </w:r>
      <w:r w:rsidRPr="00E1385A">
        <w:rPr>
          <w:sz w:val="22"/>
          <w:lang w:val="en-US"/>
        </w:rPr>
        <w:t xml:space="preserve"> </w:t>
      </w:r>
      <w:r w:rsidRPr="00665F3E">
        <w:rPr>
          <w:sz w:val="22"/>
          <w:lang w:val="en-US"/>
        </w:rPr>
        <w:t xml:space="preserve">behavior for reinterpreting </w:t>
      </w:r>
      <w:r w:rsidRPr="00E1385A">
        <w:rPr>
          <w:sz w:val="22"/>
          <w:lang w:val="en-US"/>
        </w:rPr>
        <w:t>the slot index of Table 6.3.3.2-2</w:t>
      </w:r>
      <w:r w:rsidRPr="00194B0E">
        <w:rPr>
          <w:sz w:val="22"/>
          <w:lang w:val="en-US"/>
        </w:rPr>
        <w:t xml:space="preserve"> </w:t>
      </w:r>
      <w:r>
        <w:rPr>
          <w:sz w:val="22"/>
          <w:lang w:val="en-US"/>
        </w:rPr>
        <w:t>is supported.</w:t>
      </w:r>
    </w:p>
    <w:p w14:paraId="127C855D" w14:textId="77777777" w:rsidR="00BC7984" w:rsidRDefault="00BC7984" w:rsidP="00BC7984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S</w:t>
      </w:r>
      <w:r w:rsidRPr="00E1385A">
        <w:rPr>
          <w:sz w:val="22"/>
          <w:lang w:val="en-US"/>
        </w:rPr>
        <w:t>caling factor (</w:t>
      </w:r>
      <w:r>
        <w:rPr>
          <w:sz w:val="22"/>
          <w:lang w:val="en-US"/>
        </w:rPr>
        <w:t xml:space="preserve">= </w:t>
      </w:r>
      <w:r w:rsidRPr="00E1385A">
        <w:rPr>
          <w:sz w:val="22"/>
          <w:lang w:val="en-US"/>
        </w:rPr>
        <w:t xml:space="preserve">reference subcarrier spacing </w:t>
      </w:r>
      <w:r>
        <w:rPr>
          <w:sz w:val="22"/>
          <w:lang w:val="en-US"/>
        </w:rPr>
        <w:t>for</w:t>
      </w:r>
      <w:r w:rsidRPr="00E1385A">
        <w:rPr>
          <w:sz w:val="22"/>
          <w:lang w:val="en-US"/>
        </w:rPr>
        <w:t xml:space="preserve"> FR2-NTN</w:t>
      </w:r>
      <w:r>
        <w:rPr>
          <w:sz w:val="22"/>
          <w:lang w:val="en-US"/>
        </w:rPr>
        <w:t xml:space="preserve"> </w:t>
      </w:r>
      <w:r w:rsidRPr="00E1385A">
        <w:rPr>
          <w:sz w:val="22"/>
          <w:lang w:val="en-US"/>
        </w:rPr>
        <w:t>/</w:t>
      </w:r>
      <w:r>
        <w:rPr>
          <w:sz w:val="22"/>
          <w:lang w:val="en-US"/>
        </w:rPr>
        <w:t xml:space="preserve"> </w:t>
      </w:r>
      <w:r w:rsidRPr="00E1385A">
        <w:rPr>
          <w:sz w:val="22"/>
          <w:lang w:val="en-US"/>
        </w:rPr>
        <w:t xml:space="preserve">reference subcarrier spacing </w:t>
      </w:r>
      <w:r>
        <w:rPr>
          <w:sz w:val="22"/>
          <w:lang w:val="en-US"/>
        </w:rPr>
        <w:t>for</w:t>
      </w:r>
      <w:r w:rsidRPr="00E1385A">
        <w:rPr>
          <w:sz w:val="22"/>
          <w:lang w:val="en-US"/>
        </w:rPr>
        <w:t xml:space="preserve"> </w:t>
      </w:r>
      <w:r>
        <w:rPr>
          <w:sz w:val="22"/>
          <w:lang w:val="en-US"/>
        </w:rPr>
        <w:t>Table 6.3.3.2-2</w:t>
      </w:r>
      <w:r w:rsidRPr="00E1385A">
        <w:rPr>
          <w:sz w:val="22"/>
          <w:lang w:val="en-US"/>
        </w:rPr>
        <w:t xml:space="preserve">) </w:t>
      </w:r>
      <w:r>
        <w:rPr>
          <w:sz w:val="22"/>
          <w:lang w:val="en-US"/>
        </w:rPr>
        <w:t>is</w:t>
      </w:r>
      <w:r w:rsidRPr="00E1385A">
        <w:rPr>
          <w:sz w:val="22"/>
          <w:lang w:val="en-US"/>
        </w:rPr>
        <w:t xml:space="preserve"> </w:t>
      </w:r>
      <w:r>
        <w:rPr>
          <w:sz w:val="22"/>
          <w:lang w:val="en-US"/>
        </w:rPr>
        <w:t>defined.</w:t>
      </w:r>
    </w:p>
    <w:p w14:paraId="26FE6528" w14:textId="492B0570" w:rsidR="00BC7984" w:rsidRPr="006F0A7D" w:rsidRDefault="00BC7984" w:rsidP="005B6FEA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  <w:lang w:val="en-US"/>
        </w:rPr>
      </w:pPr>
      <w:r w:rsidRPr="00EC707D">
        <w:rPr>
          <w:sz w:val="22"/>
          <w:lang w:val="en-US"/>
        </w:rPr>
        <w:t xml:space="preserve">UE can reinterpret the subframe number (A) as slot number (A*B) by multiplying it by the scaling factor </w:t>
      </w:r>
      <w:r w:rsidRPr="001E0585">
        <w:rPr>
          <w:sz w:val="22"/>
          <w:lang w:val="en-US"/>
        </w:rPr>
        <w:t>(B).</w:t>
      </w:r>
    </w:p>
    <w:p w14:paraId="0711E73D" w14:textId="77777777" w:rsidR="001673E8" w:rsidRPr="001673E8" w:rsidRDefault="001673E8" w:rsidP="008D1E8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1A31024E" w14:textId="1139C32E" w:rsidR="006435A4" w:rsidRDefault="00854580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EB7D68" w:rsidRPr="00EB7D68">
        <w:rPr>
          <w:b w:val="0"/>
          <w:sz w:val="22"/>
          <w:lang w:val="en-US"/>
        </w:rPr>
        <w:t>R1-2304309</w:t>
      </w:r>
      <w:r w:rsidR="00EB7D68">
        <w:rPr>
          <w:b w:val="0"/>
          <w:sz w:val="22"/>
          <w:lang w:val="en-US"/>
        </w:rPr>
        <w:t xml:space="preserve"> (</w:t>
      </w:r>
      <w:r w:rsidR="00EB7D68" w:rsidRPr="00EB7D68">
        <w:rPr>
          <w:b w:val="0"/>
          <w:sz w:val="22"/>
          <w:lang w:val="en-US"/>
        </w:rPr>
        <w:t>R4-230592</w:t>
      </w:r>
      <w:r w:rsidR="00EB7D68">
        <w:rPr>
          <w:b w:val="0"/>
          <w:sz w:val="22"/>
          <w:lang w:val="en-US"/>
        </w:rPr>
        <w:t>),</w:t>
      </w:r>
      <w:r w:rsidR="00EB7D68" w:rsidRPr="00EB7D68">
        <w:rPr>
          <w:b w:val="0"/>
          <w:sz w:val="22"/>
          <w:lang w:val="en-US"/>
        </w:rPr>
        <w:t xml:space="preserve"> </w:t>
      </w:r>
      <w:r w:rsidR="00EB7D68">
        <w:rPr>
          <w:b w:val="0"/>
          <w:sz w:val="22"/>
          <w:lang w:val="en-US"/>
        </w:rPr>
        <w:t>“</w:t>
      </w:r>
      <w:r w:rsidR="00EB7D68" w:rsidRPr="00EB7D68">
        <w:rPr>
          <w:b w:val="0"/>
          <w:sz w:val="22"/>
          <w:lang w:val="en-US"/>
        </w:rPr>
        <w:t>LS on the system parameters for NTN above 10 GHz</w:t>
      </w:r>
      <w:r w:rsidR="00EB7D68">
        <w:rPr>
          <w:b w:val="0"/>
          <w:sz w:val="22"/>
          <w:lang w:val="en-US"/>
        </w:rPr>
        <w:t>”</w:t>
      </w:r>
    </w:p>
    <w:p w14:paraId="1EA7CEE3" w14:textId="53A0CB7C" w:rsidR="00730473" w:rsidRDefault="006435A4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[</w:t>
      </w:r>
      <w:r w:rsidR="005E4FA2">
        <w:rPr>
          <w:b w:val="0"/>
          <w:sz w:val="22"/>
          <w:lang w:val="en-US"/>
        </w:rPr>
        <w:t>2</w:t>
      </w:r>
      <w:r>
        <w:rPr>
          <w:b w:val="0"/>
          <w:sz w:val="22"/>
          <w:lang w:val="en-US"/>
        </w:rPr>
        <w:t xml:space="preserve">] </w:t>
      </w:r>
      <w:r w:rsidR="00EB7D68" w:rsidRPr="00EB7D68">
        <w:rPr>
          <w:b w:val="0"/>
          <w:sz w:val="22"/>
          <w:lang w:val="en-US"/>
        </w:rPr>
        <w:t>R1-230</w:t>
      </w:r>
      <w:r w:rsidR="00D51B5A">
        <w:rPr>
          <w:b w:val="0"/>
          <w:sz w:val="22"/>
          <w:lang w:val="en-US"/>
        </w:rPr>
        <w:t>8416</w:t>
      </w:r>
      <w:r w:rsidR="00EB7D68" w:rsidRPr="00EB7D68">
        <w:rPr>
          <w:b w:val="0"/>
          <w:sz w:val="22"/>
          <w:lang w:val="en-US"/>
        </w:rPr>
        <w:t>, “</w:t>
      </w:r>
      <w:r w:rsidR="00D51B5A" w:rsidRPr="00D51B5A">
        <w:rPr>
          <w:b w:val="0"/>
          <w:sz w:val="22"/>
          <w:lang w:val="en-US"/>
        </w:rPr>
        <w:t>Discussion on RAN4 LS on FR2-NTN aspects</w:t>
      </w:r>
      <w:r w:rsidR="00EB7D68" w:rsidRPr="00EB7D68">
        <w:rPr>
          <w:b w:val="0"/>
          <w:sz w:val="22"/>
          <w:lang w:val="en-US"/>
        </w:rPr>
        <w:t xml:space="preserve">”, </w:t>
      </w:r>
      <w:r w:rsidR="00D51B5A" w:rsidRPr="00D51B5A">
        <w:rPr>
          <w:b w:val="0"/>
          <w:sz w:val="22"/>
          <w:lang w:val="en-US"/>
        </w:rPr>
        <w:t>Moderator (Nokia)</w:t>
      </w:r>
    </w:p>
    <w:p w14:paraId="5AAB274A" w14:textId="1C28941F" w:rsidR="001C2409" w:rsidRPr="00EB7D68" w:rsidRDefault="001C2409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 xml:space="preserve">[3] </w:t>
      </w:r>
      <w:r w:rsidRPr="001C2409">
        <w:rPr>
          <w:b w:val="0"/>
          <w:sz w:val="22"/>
        </w:rPr>
        <w:t>3GPP TS 38.213, “NR; Physical channels and modulation (Release 17) V17.</w:t>
      </w:r>
      <w:r>
        <w:rPr>
          <w:b w:val="0"/>
          <w:sz w:val="22"/>
        </w:rPr>
        <w:t>5</w:t>
      </w:r>
      <w:r w:rsidRPr="001C2409">
        <w:rPr>
          <w:b w:val="0"/>
          <w:sz w:val="22"/>
        </w:rPr>
        <w:t>.0”</w:t>
      </w:r>
    </w:p>
    <w:p w14:paraId="60DEDC38" w14:textId="038E08DF" w:rsidR="00567139" w:rsidRPr="001C2409" w:rsidRDefault="00567139" w:rsidP="00D6069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</w:rPr>
      </w:pPr>
    </w:p>
    <w:sectPr w:rsidR="00567139" w:rsidRPr="001C240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49EF" w14:textId="77777777" w:rsidR="00FD447D" w:rsidRDefault="00FD447D" w:rsidP="00D30654">
      <w:pPr>
        <w:spacing w:after="0" w:line="240" w:lineRule="auto"/>
      </w:pPr>
      <w:r>
        <w:separator/>
      </w:r>
    </w:p>
  </w:endnote>
  <w:endnote w:type="continuationSeparator" w:id="0">
    <w:p w14:paraId="40175415" w14:textId="77777777" w:rsidR="00FD447D" w:rsidRDefault="00FD447D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2CCD3" w14:textId="77777777" w:rsidR="00FD447D" w:rsidRDefault="00FD447D" w:rsidP="00D30654">
      <w:pPr>
        <w:spacing w:after="0" w:line="240" w:lineRule="auto"/>
      </w:pPr>
      <w:r>
        <w:separator/>
      </w:r>
    </w:p>
  </w:footnote>
  <w:footnote w:type="continuationSeparator" w:id="0">
    <w:p w14:paraId="020F66D7" w14:textId="77777777" w:rsidR="00FD447D" w:rsidRDefault="00FD447D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1pt;height:12.1pt" o:bullet="t">
        <v:imagedata r:id="rId1" o:title="mso8B5C"/>
      </v:shape>
    </w:pict>
  </w:numPicBullet>
  <w:abstractNum w:abstractNumId="0" w15:restartNumberingAfterBreak="0">
    <w:nsid w:val="0AC846DC"/>
    <w:multiLevelType w:val="hybridMultilevel"/>
    <w:tmpl w:val="5FCC9A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" w15:restartNumberingAfterBreak="0">
    <w:nsid w:val="0C1231E5"/>
    <w:multiLevelType w:val="hybridMultilevel"/>
    <w:tmpl w:val="B4FA72CE"/>
    <w:lvl w:ilvl="0" w:tplc="268657BC">
      <w:numFmt w:val="bullet"/>
      <w:lvlText w:val="•"/>
      <w:lvlJc w:val="left"/>
      <w:pPr>
        <w:ind w:left="684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4" w:hanging="40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A653A5D"/>
    <w:multiLevelType w:val="hybridMultilevel"/>
    <w:tmpl w:val="2E2A7E1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15A286C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2DB5EAD"/>
    <w:multiLevelType w:val="hybridMultilevel"/>
    <w:tmpl w:val="9110B746"/>
    <w:lvl w:ilvl="0" w:tplc="33EEA940"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6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7" w15:restartNumberingAfterBreak="0">
    <w:nsid w:val="28805FB6"/>
    <w:multiLevelType w:val="hybridMultilevel"/>
    <w:tmpl w:val="B6DCAC5E"/>
    <w:lvl w:ilvl="0" w:tplc="17F42914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8" w15:restartNumberingAfterBreak="0">
    <w:nsid w:val="369E7B83"/>
    <w:multiLevelType w:val="hybridMultilevel"/>
    <w:tmpl w:val="59822ED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4C282DD0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B02809"/>
    <w:multiLevelType w:val="hybridMultilevel"/>
    <w:tmpl w:val="521A2004"/>
    <w:lvl w:ilvl="0" w:tplc="268657BC">
      <w:numFmt w:val="bullet"/>
      <w:lvlText w:val="•"/>
      <w:lvlJc w:val="left"/>
      <w:pPr>
        <w:ind w:left="69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1" w15:restartNumberingAfterBreak="0">
    <w:nsid w:val="3E521429"/>
    <w:multiLevelType w:val="hybridMultilevel"/>
    <w:tmpl w:val="551EBB7C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EE10D78"/>
    <w:multiLevelType w:val="hybridMultilevel"/>
    <w:tmpl w:val="E6A84FD6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B075AF1"/>
    <w:multiLevelType w:val="hybridMultilevel"/>
    <w:tmpl w:val="D6201C6A"/>
    <w:lvl w:ilvl="0" w:tplc="E6643418">
      <w:start w:val="1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4" w15:restartNumberingAfterBreak="0">
    <w:nsid w:val="5D5B373F"/>
    <w:multiLevelType w:val="multilevel"/>
    <w:tmpl w:val="E23EE982"/>
    <w:lvl w:ilvl="0">
      <w:start w:val="1"/>
      <w:numFmt w:val="decimal"/>
      <w:lvlText w:val="%1."/>
      <w:lvlJc w:val="left"/>
      <w:pPr>
        <w:ind w:left="800" w:hanging="400"/>
      </w:pPr>
      <w:rPr>
        <w:sz w:val="32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5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EB972C2"/>
    <w:multiLevelType w:val="hybridMultilevel"/>
    <w:tmpl w:val="8966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2C932">
      <w:start w:val="1"/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F7FE8"/>
    <w:multiLevelType w:val="hybridMultilevel"/>
    <w:tmpl w:val="0EC4CBA4"/>
    <w:lvl w:ilvl="0" w:tplc="0818D5AE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C6E5CCF"/>
    <w:multiLevelType w:val="hybridMultilevel"/>
    <w:tmpl w:val="7ADA85AE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2"/>
  </w:num>
  <w:num w:numId="8">
    <w:abstractNumId w:val="16"/>
  </w:num>
  <w:num w:numId="9">
    <w:abstractNumId w:val="4"/>
  </w:num>
  <w:num w:numId="10">
    <w:abstractNumId w:val="19"/>
  </w:num>
  <w:num w:numId="11">
    <w:abstractNumId w:val="11"/>
  </w:num>
  <w:num w:numId="12">
    <w:abstractNumId w:val="13"/>
  </w:num>
  <w:num w:numId="13">
    <w:abstractNumId w:val="12"/>
  </w:num>
  <w:num w:numId="14">
    <w:abstractNumId w:val="18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9"/>
  </w:num>
  <w:num w:numId="2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226"/>
    <w:rsid w:val="00007DE7"/>
    <w:rsid w:val="00010F1E"/>
    <w:rsid w:val="000121F9"/>
    <w:rsid w:val="000139AE"/>
    <w:rsid w:val="00015105"/>
    <w:rsid w:val="000178A1"/>
    <w:rsid w:val="00020EEB"/>
    <w:rsid w:val="000210BF"/>
    <w:rsid w:val="000226B2"/>
    <w:rsid w:val="00023AD1"/>
    <w:rsid w:val="00023F06"/>
    <w:rsid w:val="000246EC"/>
    <w:rsid w:val="00025A4C"/>
    <w:rsid w:val="000261E9"/>
    <w:rsid w:val="00026AE1"/>
    <w:rsid w:val="00027AA9"/>
    <w:rsid w:val="0003080C"/>
    <w:rsid w:val="00031F18"/>
    <w:rsid w:val="0003278D"/>
    <w:rsid w:val="00032FA3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B2B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5F86"/>
    <w:rsid w:val="00066719"/>
    <w:rsid w:val="000749EB"/>
    <w:rsid w:val="00074AB3"/>
    <w:rsid w:val="000766BE"/>
    <w:rsid w:val="000777D9"/>
    <w:rsid w:val="00077861"/>
    <w:rsid w:val="00082CEF"/>
    <w:rsid w:val="00082F1F"/>
    <w:rsid w:val="0008332C"/>
    <w:rsid w:val="00083790"/>
    <w:rsid w:val="000842CF"/>
    <w:rsid w:val="00084680"/>
    <w:rsid w:val="00084FB8"/>
    <w:rsid w:val="00085E92"/>
    <w:rsid w:val="00086846"/>
    <w:rsid w:val="0009000C"/>
    <w:rsid w:val="0009085C"/>
    <w:rsid w:val="000909BA"/>
    <w:rsid w:val="00090DE1"/>
    <w:rsid w:val="00092020"/>
    <w:rsid w:val="00092F26"/>
    <w:rsid w:val="000951F4"/>
    <w:rsid w:val="00095C02"/>
    <w:rsid w:val="0009706D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C0D08"/>
    <w:rsid w:val="000C24C7"/>
    <w:rsid w:val="000C2EFD"/>
    <w:rsid w:val="000C45F7"/>
    <w:rsid w:val="000C6453"/>
    <w:rsid w:val="000C79DF"/>
    <w:rsid w:val="000C7F43"/>
    <w:rsid w:val="000D0EF1"/>
    <w:rsid w:val="000D1B38"/>
    <w:rsid w:val="000D1BD1"/>
    <w:rsid w:val="000D2DF7"/>
    <w:rsid w:val="000D572C"/>
    <w:rsid w:val="000D57D5"/>
    <w:rsid w:val="000D6540"/>
    <w:rsid w:val="000D7D5B"/>
    <w:rsid w:val="000E0266"/>
    <w:rsid w:val="000E0C43"/>
    <w:rsid w:val="000E1D15"/>
    <w:rsid w:val="000E2340"/>
    <w:rsid w:val="000E2B6F"/>
    <w:rsid w:val="000E3423"/>
    <w:rsid w:val="000E4730"/>
    <w:rsid w:val="000E6404"/>
    <w:rsid w:val="000E7849"/>
    <w:rsid w:val="000E7C34"/>
    <w:rsid w:val="000F0032"/>
    <w:rsid w:val="000F03EB"/>
    <w:rsid w:val="000F122C"/>
    <w:rsid w:val="000F2690"/>
    <w:rsid w:val="000F290C"/>
    <w:rsid w:val="000F3036"/>
    <w:rsid w:val="000F39F2"/>
    <w:rsid w:val="000F4006"/>
    <w:rsid w:val="000F46EB"/>
    <w:rsid w:val="000F5503"/>
    <w:rsid w:val="00100619"/>
    <w:rsid w:val="00102536"/>
    <w:rsid w:val="001041A5"/>
    <w:rsid w:val="00104D33"/>
    <w:rsid w:val="00106F7F"/>
    <w:rsid w:val="001076B8"/>
    <w:rsid w:val="00112996"/>
    <w:rsid w:val="00114911"/>
    <w:rsid w:val="00116408"/>
    <w:rsid w:val="00116FFB"/>
    <w:rsid w:val="00120113"/>
    <w:rsid w:val="00120EAE"/>
    <w:rsid w:val="00121350"/>
    <w:rsid w:val="00122A95"/>
    <w:rsid w:val="00123409"/>
    <w:rsid w:val="0012398E"/>
    <w:rsid w:val="0012442E"/>
    <w:rsid w:val="00124CEA"/>
    <w:rsid w:val="00124E65"/>
    <w:rsid w:val="00125EA6"/>
    <w:rsid w:val="001303BB"/>
    <w:rsid w:val="00131B6F"/>
    <w:rsid w:val="0013352A"/>
    <w:rsid w:val="00133727"/>
    <w:rsid w:val="001354C8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DE"/>
    <w:rsid w:val="00157F17"/>
    <w:rsid w:val="001605B4"/>
    <w:rsid w:val="001621BF"/>
    <w:rsid w:val="00162A85"/>
    <w:rsid w:val="00162E36"/>
    <w:rsid w:val="0016449C"/>
    <w:rsid w:val="001658E7"/>
    <w:rsid w:val="00167024"/>
    <w:rsid w:val="001671A0"/>
    <w:rsid w:val="001673E8"/>
    <w:rsid w:val="0016767D"/>
    <w:rsid w:val="00170281"/>
    <w:rsid w:val="00171172"/>
    <w:rsid w:val="001712E0"/>
    <w:rsid w:val="00174EC6"/>
    <w:rsid w:val="00175AA6"/>
    <w:rsid w:val="00176F0B"/>
    <w:rsid w:val="00177C6E"/>
    <w:rsid w:val="001800F6"/>
    <w:rsid w:val="00180A7F"/>
    <w:rsid w:val="00184F56"/>
    <w:rsid w:val="00184F73"/>
    <w:rsid w:val="0018590A"/>
    <w:rsid w:val="00185E47"/>
    <w:rsid w:val="00186789"/>
    <w:rsid w:val="00187095"/>
    <w:rsid w:val="0019042A"/>
    <w:rsid w:val="001905B4"/>
    <w:rsid w:val="00192268"/>
    <w:rsid w:val="00192DE4"/>
    <w:rsid w:val="00194B0E"/>
    <w:rsid w:val="00195087"/>
    <w:rsid w:val="001950B1"/>
    <w:rsid w:val="00196137"/>
    <w:rsid w:val="00197C14"/>
    <w:rsid w:val="001A1EB1"/>
    <w:rsid w:val="001A28FC"/>
    <w:rsid w:val="001A4027"/>
    <w:rsid w:val="001A486C"/>
    <w:rsid w:val="001A61AB"/>
    <w:rsid w:val="001A66B6"/>
    <w:rsid w:val="001A6DC5"/>
    <w:rsid w:val="001B0EDE"/>
    <w:rsid w:val="001B19FC"/>
    <w:rsid w:val="001B205A"/>
    <w:rsid w:val="001B7A87"/>
    <w:rsid w:val="001C011A"/>
    <w:rsid w:val="001C1080"/>
    <w:rsid w:val="001C2409"/>
    <w:rsid w:val="001C30F3"/>
    <w:rsid w:val="001C4D3D"/>
    <w:rsid w:val="001C5B20"/>
    <w:rsid w:val="001C5D48"/>
    <w:rsid w:val="001D02E6"/>
    <w:rsid w:val="001D09A2"/>
    <w:rsid w:val="001D227C"/>
    <w:rsid w:val="001D4524"/>
    <w:rsid w:val="001D484D"/>
    <w:rsid w:val="001D4E98"/>
    <w:rsid w:val="001D591E"/>
    <w:rsid w:val="001D5B81"/>
    <w:rsid w:val="001D5C1F"/>
    <w:rsid w:val="001D6009"/>
    <w:rsid w:val="001D63CD"/>
    <w:rsid w:val="001D6660"/>
    <w:rsid w:val="001D756F"/>
    <w:rsid w:val="001E00D4"/>
    <w:rsid w:val="001E0345"/>
    <w:rsid w:val="001E0585"/>
    <w:rsid w:val="001E0A1A"/>
    <w:rsid w:val="001E45C6"/>
    <w:rsid w:val="001E6E6D"/>
    <w:rsid w:val="001F0A3A"/>
    <w:rsid w:val="001F1760"/>
    <w:rsid w:val="001F24CE"/>
    <w:rsid w:val="001F3610"/>
    <w:rsid w:val="001F54EB"/>
    <w:rsid w:val="001F63F9"/>
    <w:rsid w:val="001F6468"/>
    <w:rsid w:val="0020118A"/>
    <w:rsid w:val="00203824"/>
    <w:rsid w:val="002055A8"/>
    <w:rsid w:val="002074F9"/>
    <w:rsid w:val="00207721"/>
    <w:rsid w:val="00207C62"/>
    <w:rsid w:val="0021121A"/>
    <w:rsid w:val="002121BD"/>
    <w:rsid w:val="002137DA"/>
    <w:rsid w:val="00215023"/>
    <w:rsid w:val="00217A3B"/>
    <w:rsid w:val="002203A7"/>
    <w:rsid w:val="0022045D"/>
    <w:rsid w:val="0022145F"/>
    <w:rsid w:val="00222DA2"/>
    <w:rsid w:val="002240C3"/>
    <w:rsid w:val="002263C6"/>
    <w:rsid w:val="00226721"/>
    <w:rsid w:val="00231363"/>
    <w:rsid w:val="002319D5"/>
    <w:rsid w:val="00231A53"/>
    <w:rsid w:val="00231C2D"/>
    <w:rsid w:val="00231F36"/>
    <w:rsid w:val="00234637"/>
    <w:rsid w:val="002356C0"/>
    <w:rsid w:val="0023756B"/>
    <w:rsid w:val="00237B71"/>
    <w:rsid w:val="00240DFD"/>
    <w:rsid w:val="00240F2A"/>
    <w:rsid w:val="00242B1B"/>
    <w:rsid w:val="002442CC"/>
    <w:rsid w:val="002450AB"/>
    <w:rsid w:val="0024516C"/>
    <w:rsid w:val="002454D1"/>
    <w:rsid w:val="0024696E"/>
    <w:rsid w:val="002469C1"/>
    <w:rsid w:val="002473E2"/>
    <w:rsid w:val="00247802"/>
    <w:rsid w:val="002478EF"/>
    <w:rsid w:val="002504C1"/>
    <w:rsid w:val="002505DE"/>
    <w:rsid w:val="00252632"/>
    <w:rsid w:val="0025389D"/>
    <w:rsid w:val="00255A97"/>
    <w:rsid w:val="00255BB4"/>
    <w:rsid w:val="002563B9"/>
    <w:rsid w:val="00256E9F"/>
    <w:rsid w:val="00260744"/>
    <w:rsid w:val="0026254D"/>
    <w:rsid w:val="00263C99"/>
    <w:rsid w:val="002650C6"/>
    <w:rsid w:val="002657F4"/>
    <w:rsid w:val="002660FC"/>
    <w:rsid w:val="00266C00"/>
    <w:rsid w:val="002670C6"/>
    <w:rsid w:val="00267958"/>
    <w:rsid w:val="00270220"/>
    <w:rsid w:val="00273056"/>
    <w:rsid w:val="0027358F"/>
    <w:rsid w:val="00274B25"/>
    <w:rsid w:val="00274FA9"/>
    <w:rsid w:val="00275039"/>
    <w:rsid w:val="00275446"/>
    <w:rsid w:val="002754CF"/>
    <w:rsid w:val="00275899"/>
    <w:rsid w:val="00276ED4"/>
    <w:rsid w:val="002776CA"/>
    <w:rsid w:val="002778A4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78"/>
    <w:rsid w:val="00291B1A"/>
    <w:rsid w:val="00291FAB"/>
    <w:rsid w:val="00294EF4"/>
    <w:rsid w:val="002951C3"/>
    <w:rsid w:val="00297118"/>
    <w:rsid w:val="00297579"/>
    <w:rsid w:val="002A07B3"/>
    <w:rsid w:val="002A3193"/>
    <w:rsid w:val="002A371A"/>
    <w:rsid w:val="002A3F6C"/>
    <w:rsid w:val="002A64C9"/>
    <w:rsid w:val="002A7DB4"/>
    <w:rsid w:val="002B16B5"/>
    <w:rsid w:val="002B25FB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6810"/>
    <w:rsid w:val="002D13BB"/>
    <w:rsid w:val="002D286B"/>
    <w:rsid w:val="002D2CAD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5EAC"/>
    <w:rsid w:val="002E5F02"/>
    <w:rsid w:val="002E6702"/>
    <w:rsid w:val="002E6FC5"/>
    <w:rsid w:val="002E7258"/>
    <w:rsid w:val="002E7C8B"/>
    <w:rsid w:val="002F150E"/>
    <w:rsid w:val="002F21F7"/>
    <w:rsid w:val="002F3E41"/>
    <w:rsid w:val="002F64BC"/>
    <w:rsid w:val="002F72FB"/>
    <w:rsid w:val="00302BA7"/>
    <w:rsid w:val="00303C10"/>
    <w:rsid w:val="00304AC9"/>
    <w:rsid w:val="00304CE8"/>
    <w:rsid w:val="00305BCE"/>
    <w:rsid w:val="003064E5"/>
    <w:rsid w:val="00306CA0"/>
    <w:rsid w:val="003073A5"/>
    <w:rsid w:val="0031273A"/>
    <w:rsid w:val="00315C73"/>
    <w:rsid w:val="0032315A"/>
    <w:rsid w:val="0032348D"/>
    <w:rsid w:val="003237B7"/>
    <w:rsid w:val="003243B2"/>
    <w:rsid w:val="0032573A"/>
    <w:rsid w:val="00325DD6"/>
    <w:rsid w:val="00326037"/>
    <w:rsid w:val="0033120F"/>
    <w:rsid w:val="00331E4D"/>
    <w:rsid w:val="00332ADC"/>
    <w:rsid w:val="0033420E"/>
    <w:rsid w:val="003342CF"/>
    <w:rsid w:val="003360A8"/>
    <w:rsid w:val="0033723C"/>
    <w:rsid w:val="00337423"/>
    <w:rsid w:val="003377B5"/>
    <w:rsid w:val="003379F9"/>
    <w:rsid w:val="00337C8C"/>
    <w:rsid w:val="003400B8"/>
    <w:rsid w:val="003400C2"/>
    <w:rsid w:val="00340C8B"/>
    <w:rsid w:val="00340CC8"/>
    <w:rsid w:val="0034193B"/>
    <w:rsid w:val="0034210D"/>
    <w:rsid w:val="00344457"/>
    <w:rsid w:val="00350736"/>
    <w:rsid w:val="00351D6D"/>
    <w:rsid w:val="00351E6E"/>
    <w:rsid w:val="0035218C"/>
    <w:rsid w:val="00353FC8"/>
    <w:rsid w:val="0035438B"/>
    <w:rsid w:val="00354A80"/>
    <w:rsid w:val="003556F5"/>
    <w:rsid w:val="00355CB0"/>
    <w:rsid w:val="0035633D"/>
    <w:rsid w:val="00360A3A"/>
    <w:rsid w:val="003610CE"/>
    <w:rsid w:val="003630F0"/>
    <w:rsid w:val="00363A53"/>
    <w:rsid w:val="003670B8"/>
    <w:rsid w:val="003671EA"/>
    <w:rsid w:val="003705CE"/>
    <w:rsid w:val="00370B10"/>
    <w:rsid w:val="0037122D"/>
    <w:rsid w:val="00372034"/>
    <w:rsid w:val="00373D20"/>
    <w:rsid w:val="00377256"/>
    <w:rsid w:val="00377659"/>
    <w:rsid w:val="00377CDF"/>
    <w:rsid w:val="003816BA"/>
    <w:rsid w:val="00382CDA"/>
    <w:rsid w:val="003835FC"/>
    <w:rsid w:val="00386649"/>
    <w:rsid w:val="00386687"/>
    <w:rsid w:val="003872EE"/>
    <w:rsid w:val="00394DF7"/>
    <w:rsid w:val="00395FA0"/>
    <w:rsid w:val="00396262"/>
    <w:rsid w:val="00396966"/>
    <w:rsid w:val="00396FE5"/>
    <w:rsid w:val="00397DDF"/>
    <w:rsid w:val="00397F72"/>
    <w:rsid w:val="003A091B"/>
    <w:rsid w:val="003A35E5"/>
    <w:rsid w:val="003A3A28"/>
    <w:rsid w:val="003A3BB1"/>
    <w:rsid w:val="003A456B"/>
    <w:rsid w:val="003A64FB"/>
    <w:rsid w:val="003A7BBB"/>
    <w:rsid w:val="003B0CA9"/>
    <w:rsid w:val="003B1856"/>
    <w:rsid w:val="003B1D9D"/>
    <w:rsid w:val="003B33B6"/>
    <w:rsid w:val="003B5312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C79B8"/>
    <w:rsid w:val="003C7DA4"/>
    <w:rsid w:val="003D0E83"/>
    <w:rsid w:val="003D0F16"/>
    <w:rsid w:val="003D10DE"/>
    <w:rsid w:val="003D1C1D"/>
    <w:rsid w:val="003D40A9"/>
    <w:rsid w:val="003D45A3"/>
    <w:rsid w:val="003D5AD4"/>
    <w:rsid w:val="003D70D1"/>
    <w:rsid w:val="003D71B2"/>
    <w:rsid w:val="003E08F7"/>
    <w:rsid w:val="003E232E"/>
    <w:rsid w:val="003E2F3C"/>
    <w:rsid w:val="003E3A1E"/>
    <w:rsid w:val="003E4034"/>
    <w:rsid w:val="003E434F"/>
    <w:rsid w:val="003E7EEF"/>
    <w:rsid w:val="003F28EC"/>
    <w:rsid w:val="003F3BF5"/>
    <w:rsid w:val="003F3D6D"/>
    <w:rsid w:val="003F3F91"/>
    <w:rsid w:val="003F41E5"/>
    <w:rsid w:val="003F591D"/>
    <w:rsid w:val="003F59CD"/>
    <w:rsid w:val="003F5A38"/>
    <w:rsid w:val="003F5D41"/>
    <w:rsid w:val="003F7072"/>
    <w:rsid w:val="003F7F9E"/>
    <w:rsid w:val="00404A52"/>
    <w:rsid w:val="00407E31"/>
    <w:rsid w:val="00407F9A"/>
    <w:rsid w:val="00410229"/>
    <w:rsid w:val="00410BFD"/>
    <w:rsid w:val="00410F91"/>
    <w:rsid w:val="004117E5"/>
    <w:rsid w:val="00411CF2"/>
    <w:rsid w:val="0041401B"/>
    <w:rsid w:val="004141B6"/>
    <w:rsid w:val="004155C8"/>
    <w:rsid w:val="00416BB4"/>
    <w:rsid w:val="0041723A"/>
    <w:rsid w:val="00420DEF"/>
    <w:rsid w:val="0042170E"/>
    <w:rsid w:val="00421B54"/>
    <w:rsid w:val="004220AC"/>
    <w:rsid w:val="00422743"/>
    <w:rsid w:val="00423C76"/>
    <w:rsid w:val="00425554"/>
    <w:rsid w:val="00425BAC"/>
    <w:rsid w:val="00425F1F"/>
    <w:rsid w:val="00427F68"/>
    <w:rsid w:val="0043116B"/>
    <w:rsid w:val="004336D3"/>
    <w:rsid w:val="004341F8"/>
    <w:rsid w:val="004348FF"/>
    <w:rsid w:val="00434CCA"/>
    <w:rsid w:val="00436A35"/>
    <w:rsid w:val="00436E4D"/>
    <w:rsid w:val="00437975"/>
    <w:rsid w:val="00437EF9"/>
    <w:rsid w:val="00437F83"/>
    <w:rsid w:val="0044216A"/>
    <w:rsid w:val="004427D9"/>
    <w:rsid w:val="0044328E"/>
    <w:rsid w:val="00443718"/>
    <w:rsid w:val="004441F5"/>
    <w:rsid w:val="00444F53"/>
    <w:rsid w:val="0044652B"/>
    <w:rsid w:val="00446548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AE5"/>
    <w:rsid w:val="00455F73"/>
    <w:rsid w:val="004573FE"/>
    <w:rsid w:val="0046061B"/>
    <w:rsid w:val="0046281C"/>
    <w:rsid w:val="004629FB"/>
    <w:rsid w:val="0046396B"/>
    <w:rsid w:val="004639B8"/>
    <w:rsid w:val="00464AC2"/>
    <w:rsid w:val="004671C4"/>
    <w:rsid w:val="0046746A"/>
    <w:rsid w:val="00467F25"/>
    <w:rsid w:val="00470138"/>
    <w:rsid w:val="004772D1"/>
    <w:rsid w:val="004776CF"/>
    <w:rsid w:val="00480B0E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1167"/>
    <w:rsid w:val="004A305A"/>
    <w:rsid w:val="004A4692"/>
    <w:rsid w:val="004A5B0B"/>
    <w:rsid w:val="004A6D8B"/>
    <w:rsid w:val="004A7704"/>
    <w:rsid w:val="004A7E2D"/>
    <w:rsid w:val="004B39FA"/>
    <w:rsid w:val="004B40C8"/>
    <w:rsid w:val="004B5AD0"/>
    <w:rsid w:val="004B78E5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3319"/>
    <w:rsid w:val="004D4DBE"/>
    <w:rsid w:val="004D5297"/>
    <w:rsid w:val="004D52D0"/>
    <w:rsid w:val="004D5C11"/>
    <w:rsid w:val="004D7207"/>
    <w:rsid w:val="004D7E82"/>
    <w:rsid w:val="004E1800"/>
    <w:rsid w:val="004E1E35"/>
    <w:rsid w:val="004E3757"/>
    <w:rsid w:val="004E4105"/>
    <w:rsid w:val="004E6ACD"/>
    <w:rsid w:val="004F02D2"/>
    <w:rsid w:val="004F2041"/>
    <w:rsid w:val="004F21C0"/>
    <w:rsid w:val="004F33AC"/>
    <w:rsid w:val="004F60D7"/>
    <w:rsid w:val="004F66C9"/>
    <w:rsid w:val="004F6F02"/>
    <w:rsid w:val="00501539"/>
    <w:rsid w:val="0050222A"/>
    <w:rsid w:val="00502DF2"/>
    <w:rsid w:val="0050353F"/>
    <w:rsid w:val="005037E8"/>
    <w:rsid w:val="005056DA"/>
    <w:rsid w:val="005073CA"/>
    <w:rsid w:val="00507C46"/>
    <w:rsid w:val="0051172B"/>
    <w:rsid w:val="005144B1"/>
    <w:rsid w:val="005170B8"/>
    <w:rsid w:val="00520375"/>
    <w:rsid w:val="00521A2F"/>
    <w:rsid w:val="0052419F"/>
    <w:rsid w:val="005266A9"/>
    <w:rsid w:val="0053062A"/>
    <w:rsid w:val="00531496"/>
    <w:rsid w:val="00532A21"/>
    <w:rsid w:val="0053484C"/>
    <w:rsid w:val="005356B4"/>
    <w:rsid w:val="0053706D"/>
    <w:rsid w:val="005373A2"/>
    <w:rsid w:val="00540DB7"/>
    <w:rsid w:val="00543212"/>
    <w:rsid w:val="005443AA"/>
    <w:rsid w:val="0054584F"/>
    <w:rsid w:val="00545C52"/>
    <w:rsid w:val="00545FAB"/>
    <w:rsid w:val="00546D63"/>
    <w:rsid w:val="00547249"/>
    <w:rsid w:val="00547287"/>
    <w:rsid w:val="00550BC7"/>
    <w:rsid w:val="00551816"/>
    <w:rsid w:val="00553213"/>
    <w:rsid w:val="00553B54"/>
    <w:rsid w:val="0055418F"/>
    <w:rsid w:val="00554ED4"/>
    <w:rsid w:val="005552F3"/>
    <w:rsid w:val="00555E2F"/>
    <w:rsid w:val="00557D9F"/>
    <w:rsid w:val="005611EC"/>
    <w:rsid w:val="00561D45"/>
    <w:rsid w:val="00561DC2"/>
    <w:rsid w:val="0056216F"/>
    <w:rsid w:val="005639A6"/>
    <w:rsid w:val="005660D8"/>
    <w:rsid w:val="00566B52"/>
    <w:rsid w:val="00566F6A"/>
    <w:rsid w:val="00567139"/>
    <w:rsid w:val="00567AE8"/>
    <w:rsid w:val="00570571"/>
    <w:rsid w:val="00570FF9"/>
    <w:rsid w:val="005730E0"/>
    <w:rsid w:val="00573204"/>
    <w:rsid w:val="00574554"/>
    <w:rsid w:val="0057455C"/>
    <w:rsid w:val="00574BA7"/>
    <w:rsid w:val="00575C6F"/>
    <w:rsid w:val="0057696F"/>
    <w:rsid w:val="0058016B"/>
    <w:rsid w:val="00580629"/>
    <w:rsid w:val="00584597"/>
    <w:rsid w:val="0058469E"/>
    <w:rsid w:val="005846C4"/>
    <w:rsid w:val="0058480E"/>
    <w:rsid w:val="00585326"/>
    <w:rsid w:val="005865A9"/>
    <w:rsid w:val="00586BC5"/>
    <w:rsid w:val="00590B13"/>
    <w:rsid w:val="005947E5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706"/>
    <w:rsid w:val="005A7AF9"/>
    <w:rsid w:val="005B0AE5"/>
    <w:rsid w:val="005B0C11"/>
    <w:rsid w:val="005B41BD"/>
    <w:rsid w:val="005B4A3B"/>
    <w:rsid w:val="005B6B85"/>
    <w:rsid w:val="005B6FEA"/>
    <w:rsid w:val="005C1772"/>
    <w:rsid w:val="005C20C2"/>
    <w:rsid w:val="005C2139"/>
    <w:rsid w:val="005C2173"/>
    <w:rsid w:val="005C2CFB"/>
    <w:rsid w:val="005C3322"/>
    <w:rsid w:val="005C4597"/>
    <w:rsid w:val="005C645F"/>
    <w:rsid w:val="005C6DAE"/>
    <w:rsid w:val="005C6E21"/>
    <w:rsid w:val="005C7A77"/>
    <w:rsid w:val="005D03E5"/>
    <w:rsid w:val="005D05DB"/>
    <w:rsid w:val="005D18C4"/>
    <w:rsid w:val="005D2793"/>
    <w:rsid w:val="005D2ECF"/>
    <w:rsid w:val="005D333F"/>
    <w:rsid w:val="005D3702"/>
    <w:rsid w:val="005D4046"/>
    <w:rsid w:val="005D5803"/>
    <w:rsid w:val="005D797A"/>
    <w:rsid w:val="005E05A6"/>
    <w:rsid w:val="005E358E"/>
    <w:rsid w:val="005E483B"/>
    <w:rsid w:val="005E4FA2"/>
    <w:rsid w:val="005E525B"/>
    <w:rsid w:val="005E676B"/>
    <w:rsid w:val="005E6AA1"/>
    <w:rsid w:val="005E77D6"/>
    <w:rsid w:val="005E79F9"/>
    <w:rsid w:val="005F099C"/>
    <w:rsid w:val="005F4437"/>
    <w:rsid w:val="005F552C"/>
    <w:rsid w:val="005F7233"/>
    <w:rsid w:val="005F7BE1"/>
    <w:rsid w:val="00600C41"/>
    <w:rsid w:val="006054FA"/>
    <w:rsid w:val="00605908"/>
    <w:rsid w:val="00605ECB"/>
    <w:rsid w:val="00610260"/>
    <w:rsid w:val="00612827"/>
    <w:rsid w:val="00612B95"/>
    <w:rsid w:val="0061328E"/>
    <w:rsid w:val="00613CF1"/>
    <w:rsid w:val="00613D20"/>
    <w:rsid w:val="0061556B"/>
    <w:rsid w:val="00615675"/>
    <w:rsid w:val="00615B28"/>
    <w:rsid w:val="0061605D"/>
    <w:rsid w:val="006169A9"/>
    <w:rsid w:val="0061776C"/>
    <w:rsid w:val="00620373"/>
    <w:rsid w:val="0062065E"/>
    <w:rsid w:val="00621F7D"/>
    <w:rsid w:val="0062249B"/>
    <w:rsid w:val="00622A50"/>
    <w:rsid w:val="006236E8"/>
    <w:rsid w:val="0062435E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67A"/>
    <w:rsid w:val="00642C0D"/>
    <w:rsid w:val="006435A4"/>
    <w:rsid w:val="00643C8B"/>
    <w:rsid w:val="006447D9"/>
    <w:rsid w:val="00645149"/>
    <w:rsid w:val="00645D64"/>
    <w:rsid w:val="0065085C"/>
    <w:rsid w:val="006515FB"/>
    <w:rsid w:val="00651674"/>
    <w:rsid w:val="006528EB"/>
    <w:rsid w:val="00654CD3"/>
    <w:rsid w:val="006563E6"/>
    <w:rsid w:val="00656BFB"/>
    <w:rsid w:val="006577A2"/>
    <w:rsid w:val="00661B31"/>
    <w:rsid w:val="006622D7"/>
    <w:rsid w:val="00662B37"/>
    <w:rsid w:val="00664CFC"/>
    <w:rsid w:val="00665F3E"/>
    <w:rsid w:val="006663AB"/>
    <w:rsid w:val="00671632"/>
    <w:rsid w:val="00674A5F"/>
    <w:rsid w:val="00675AE3"/>
    <w:rsid w:val="0068027E"/>
    <w:rsid w:val="00680446"/>
    <w:rsid w:val="006804FC"/>
    <w:rsid w:val="006823BA"/>
    <w:rsid w:val="006826B9"/>
    <w:rsid w:val="00683D8C"/>
    <w:rsid w:val="00685351"/>
    <w:rsid w:val="0068613D"/>
    <w:rsid w:val="0068666F"/>
    <w:rsid w:val="00686AD5"/>
    <w:rsid w:val="006870A9"/>
    <w:rsid w:val="006926A9"/>
    <w:rsid w:val="00695FED"/>
    <w:rsid w:val="00696CB3"/>
    <w:rsid w:val="006A0D1B"/>
    <w:rsid w:val="006A1A18"/>
    <w:rsid w:val="006A35DA"/>
    <w:rsid w:val="006A35E2"/>
    <w:rsid w:val="006A3F33"/>
    <w:rsid w:val="006A4330"/>
    <w:rsid w:val="006A44DF"/>
    <w:rsid w:val="006A49A5"/>
    <w:rsid w:val="006A5BDB"/>
    <w:rsid w:val="006A7675"/>
    <w:rsid w:val="006B0140"/>
    <w:rsid w:val="006B1637"/>
    <w:rsid w:val="006B16E8"/>
    <w:rsid w:val="006B1C78"/>
    <w:rsid w:val="006B1CEE"/>
    <w:rsid w:val="006B2F4E"/>
    <w:rsid w:val="006B33A7"/>
    <w:rsid w:val="006B3E1C"/>
    <w:rsid w:val="006B516C"/>
    <w:rsid w:val="006B6478"/>
    <w:rsid w:val="006C1B5A"/>
    <w:rsid w:val="006C226F"/>
    <w:rsid w:val="006C602A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4C58"/>
    <w:rsid w:val="006D5201"/>
    <w:rsid w:val="006D5D0B"/>
    <w:rsid w:val="006D5FB1"/>
    <w:rsid w:val="006D6B72"/>
    <w:rsid w:val="006D7185"/>
    <w:rsid w:val="006E007E"/>
    <w:rsid w:val="006E01C7"/>
    <w:rsid w:val="006E1160"/>
    <w:rsid w:val="006E2160"/>
    <w:rsid w:val="006E2B6E"/>
    <w:rsid w:val="006E307E"/>
    <w:rsid w:val="006E486C"/>
    <w:rsid w:val="006E4A3A"/>
    <w:rsid w:val="006E4B6C"/>
    <w:rsid w:val="006E6B4F"/>
    <w:rsid w:val="006E722D"/>
    <w:rsid w:val="006E7A38"/>
    <w:rsid w:val="006F0638"/>
    <w:rsid w:val="006F0A7D"/>
    <w:rsid w:val="006F0B83"/>
    <w:rsid w:val="006F1829"/>
    <w:rsid w:val="006F2A94"/>
    <w:rsid w:val="006F2CD9"/>
    <w:rsid w:val="006F42B3"/>
    <w:rsid w:val="006F6002"/>
    <w:rsid w:val="006F6B39"/>
    <w:rsid w:val="006F7846"/>
    <w:rsid w:val="00701B27"/>
    <w:rsid w:val="00703896"/>
    <w:rsid w:val="00704A36"/>
    <w:rsid w:val="00704EBB"/>
    <w:rsid w:val="0070545C"/>
    <w:rsid w:val="00706834"/>
    <w:rsid w:val="007070B3"/>
    <w:rsid w:val="00707105"/>
    <w:rsid w:val="0071069B"/>
    <w:rsid w:val="00711D55"/>
    <w:rsid w:val="007120D5"/>
    <w:rsid w:val="00712C27"/>
    <w:rsid w:val="00713CD1"/>
    <w:rsid w:val="00716E05"/>
    <w:rsid w:val="007201CC"/>
    <w:rsid w:val="00720685"/>
    <w:rsid w:val="00720A4C"/>
    <w:rsid w:val="00720C94"/>
    <w:rsid w:val="00720D6A"/>
    <w:rsid w:val="007214C0"/>
    <w:rsid w:val="00722099"/>
    <w:rsid w:val="00722420"/>
    <w:rsid w:val="00722946"/>
    <w:rsid w:val="007230A4"/>
    <w:rsid w:val="007244D0"/>
    <w:rsid w:val="0072563D"/>
    <w:rsid w:val="00727073"/>
    <w:rsid w:val="00727B5C"/>
    <w:rsid w:val="00730473"/>
    <w:rsid w:val="00730857"/>
    <w:rsid w:val="00732656"/>
    <w:rsid w:val="0073322F"/>
    <w:rsid w:val="00735083"/>
    <w:rsid w:val="00735168"/>
    <w:rsid w:val="007354C4"/>
    <w:rsid w:val="00735EEB"/>
    <w:rsid w:val="00737144"/>
    <w:rsid w:val="00740CD5"/>
    <w:rsid w:val="007418DB"/>
    <w:rsid w:val="00742118"/>
    <w:rsid w:val="00742265"/>
    <w:rsid w:val="0074251B"/>
    <w:rsid w:val="0074274B"/>
    <w:rsid w:val="00746920"/>
    <w:rsid w:val="00750C2D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8127D"/>
    <w:rsid w:val="00783B69"/>
    <w:rsid w:val="00784301"/>
    <w:rsid w:val="00785124"/>
    <w:rsid w:val="00785DDB"/>
    <w:rsid w:val="00785E7A"/>
    <w:rsid w:val="00786BB8"/>
    <w:rsid w:val="00786BDD"/>
    <w:rsid w:val="00790613"/>
    <w:rsid w:val="00790A53"/>
    <w:rsid w:val="00791235"/>
    <w:rsid w:val="00791D4A"/>
    <w:rsid w:val="00792758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03F4"/>
    <w:rsid w:val="007C204C"/>
    <w:rsid w:val="007C2067"/>
    <w:rsid w:val="007C42DC"/>
    <w:rsid w:val="007C70AB"/>
    <w:rsid w:val="007C7454"/>
    <w:rsid w:val="007D0144"/>
    <w:rsid w:val="007D21C4"/>
    <w:rsid w:val="007D2EF2"/>
    <w:rsid w:val="007D302A"/>
    <w:rsid w:val="007D404F"/>
    <w:rsid w:val="007D459D"/>
    <w:rsid w:val="007D4E40"/>
    <w:rsid w:val="007D5A9E"/>
    <w:rsid w:val="007D5CCC"/>
    <w:rsid w:val="007D6BFB"/>
    <w:rsid w:val="007D6DF0"/>
    <w:rsid w:val="007D71C8"/>
    <w:rsid w:val="007E0B8C"/>
    <w:rsid w:val="007E123D"/>
    <w:rsid w:val="007E1C30"/>
    <w:rsid w:val="007E21F5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2424"/>
    <w:rsid w:val="00803C1E"/>
    <w:rsid w:val="00805CFC"/>
    <w:rsid w:val="00807DBB"/>
    <w:rsid w:val="00810573"/>
    <w:rsid w:val="008115BD"/>
    <w:rsid w:val="008120CF"/>
    <w:rsid w:val="00812242"/>
    <w:rsid w:val="008129B3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1C25"/>
    <w:rsid w:val="00822D10"/>
    <w:rsid w:val="00824CBD"/>
    <w:rsid w:val="00824D78"/>
    <w:rsid w:val="00824DFB"/>
    <w:rsid w:val="0082623A"/>
    <w:rsid w:val="0082712A"/>
    <w:rsid w:val="00833EAE"/>
    <w:rsid w:val="00835159"/>
    <w:rsid w:val="0083688D"/>
    <w:rsid w:val="00837039"/>
    <w:rsid w:val="00837182"/>
    <w:rsid w:val="00840199"/>
    <w:rsid w:val="008407D6"/>
    <w:rsid w:val="008410D9"/>
    <w:rsid w:val="00841543"/>
    <w:rsid w:val="0084175F"/>
    <w:rsid w:val="00841CF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2242"/>
    <w:rsid w:val="00853A07"/>
    <w:rsid w:val="00854580"/>
    <w:rsid w:val="008560D4"/>
    <w:rsid w:val="008614B5"/>
    <w:rsid w:val="0086227E"/>
    <w:rsid w:val="00862DEF"/>
    <w:rsid w:val="00865549"/>
    <w:rsid w:val="00865B16"/>
    <w:rsid w:val="008673CC"/>
    <w:rsid w:val="00867B33"/>
    <w:rsid w:val="008701FE"/>
    <w:rsid w:val="008709EA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777D0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068A"/>
    <w:rsid w:val="0089162C"/>
    <w:rsid w:val="008918D6"/>
    <w:rsid w:val="00894428"/>
    <w:rsid w:val="00894F18"/>
    <w:rsid w:val="00895218"/>
    <w:rsid w:val="00895996"/>
    <w:rsid w:val="00895A3D"/>
    <w:rsid w:val="00896283"/>
    <w:rsid w:val="00896AEB"/>
    <w:rsid w:val="00897073"/>
    <w:rsid w:val="00897B1E"/>
    <w:rsid w:val="00897E07"/>
    <w:rsid w:val="008A0473"/>
    <w:rsid w:val="008A2292"/>
    <w:rsid w:val="008A2C71"/>
    <w:rsid w:val="008A3940"/>
    <w:rsid w:val="008A6268"/>
    <w:rsid w:val="008A6D37"/>
    <w:rsid w:val="008A708B"/>
    <w:rsid w:val="008A7B03"/>
    <w:rsid w:val="008A7F02"/>
    <w:rsid w:val="008B0119"/>
    <w:rsid w:val="008B2637"/>
    <w:rsid w:val="008B64D6"/>
    <w:rsid w:val="008B71E2"/>
    <w:rsid w:val="008B7AF5"/>
    <w:rsid w:val="008C04A7"/>
    <w:rsid w:val="008C153E"/>
    <w:rsid w:val="008C1982"/>
    <w:rsid w:val="008C1C65"/>
    <w:rsid w:val="008C46C9"/>
    <w:rsid w:val="008C4E6B"/>
    <w:rsid w:val="008C5350"/>
    <w:rsid w:val="008C5CFB"/>
    <w:rsid w:val="008D1E8A"/>
    <w:rsid w:val="008D5EA4"/>
    <w:rsid w:val="008D5FBC"/>
    <w:rsid w:val="008D690D"/>
    <w:rsid w:val="008E0715"/>
    <w:rsid w:val="008E1A32"/>
    <w:rsid w:val="008E3574"/>
    <w:rsid w:val="008E3BCB"/>
    <w:rsid w:val="008E4C38"/>
    <w:rsid w:val="008E4D6E"/>
    <w:rsid w:val="008E664D"/>
    <w:rsid w:val="008E74E4"/>
    <w:rsid w:val="008E7B5B"/>
    <w:rsid w:val="008F258C"/>
    <w:rsid w:val="008F3EE1"/>
    <w:rsid w:val="008F40E0"/>
    <w:rsid w:val="008F549A"/>
    <w:rsid w:val="008F682D"/>
    <w:rsid w:val="00901F37"/>
    <w:rsid w:val="0090270B"/>
    <w:rsid w:val="009034DB"/>
    <w:rsid w:val="009036EF"/>
    <w:rsid w:val="00903865"/>
    <w:rsid w:val="0090396C"/>
    <w:rsid w:val="009045E9"/>
    <w:rsid w:val="00904F9A"/>
    <w:rsid w:val="009050BF"/>
    <w:rsid w:val="00905837"/>
    <w:rsid w:val="009062ED"/>
    <w:rsid w:val="00910179"/>
    <w:rsid w:val="00910847"/>
    <w:rsid w:val="00912DA8"/>
    <w:rsid w:val="00912F23"/>
    <w:rsid w:val="0091388C"/>
    <w:rsid w:val="00913B72"/>
    <w:rsid w:val="009148C2"/>
    <w:rsid w:val="00917436"/>
    <w:rsid w:val="00917860"/>
    <w:rsid w:val="00920945"/>
    <w:rsid w:val="0092270B"/>
    <w:rsid w:val="00922E03"/>
    <w:rsid w:val="00923276"/>
    <w:rsid w:val="00923DCB"/>
    <w:rsid w:val="00926E76"/>
    <w:rsid w:val="0093102E"/>
    <w:rsid w:val="009322E8"/>
    <w:rsid w:val="009333E5"/>
    <w:rsid w:val="00936945"/>
    <w:rsid w:val="009414A1"/>
    <w:rsid w:val="00941D2D"/>
    <w:rsid w:val="0094397C"/>
    <w:rsid w:val="009439B2"/>
    <w:rsid w:val="00943EC6"/>
    <w:rsid w:val="00945287"/>
    <w:rsid w:val="00945949"/>
    <w:rsid w:val="00946549"/>
    <w:rsid w:val="00946FE9"/>
    <w:rsid w:val="0095006D"/>
    <w:rsid w:val="00952232"/>
    <w:rsid w:val="00953FCA"/>
    <w:rsid w:val="00955824"/>
    <w:rsid w:val="00955BCB"/>
    <w:rsid w:val="00955D5E"/>
    <w:rsid w:val="00955E85"/>
    <w:rsid w:val="00960BA6"/>
    <w:rsid w:val="00961956"/>
    <w:rsid w:val="00961D8E"/>
    <w:rsid w:val="00961E65"/>
    <w:rsid w:val="00962965"/>
    <w:rsid w:val="00962F88"/>
    <w:rsid w:val="00963859"/>
    <w:rsid w:val="00964FC1"/>
    <w:rsid w:val="00970F70"/>
    <w:rsid w:val="009725B2"/>
    <w:rsid w:val="009736D0"/>
    <w:rsid w:val="0097398A"/>
    <w:rsid w:val="0097582E"/>
    <w:rsid w:val="00976B78"/>
    <w:rsid w:val="009776C5"/>
    <w:rsid w:val="009801D2"/>
    <w:rsid w:val="009836B4"/>
    <w:rsid w:val="00984136"/>
    <w:rsid w:val="009846E7"/>
    <w:rsid w:val="0098595E"/>
    <w:rsid w:val="00985974"/>
    <w:rsid w:val="009876B8"/>
    <w:rsid w:val="00987B8F"/>
    <w:rsid w:val="009902E7"/>
    <w:rsid w:val="0099185D"/>
    <w:rsid w:val="00992925"/>
    <w:rsid w:val="00992B9B"/>
    <w:rsid w:val="009935C5"/>
    <w:rsid w:val="009938EA"/>
    <w:rsid w:val="00994B4F"/>
    <w:rsid w:val="009974F8"/>
    <w:rsid w:val="009A03B8"/>
    <w:rsid w:val="009A0F80"/>
    <w:rsid w:val="009A30D4"/>
    <w:rsid w:val="009A3AC6"/>
    <w:rsid w:val="009A4451"/>
    <w:rsid w:val="009A586A"/>
    <w:rsid w:val="009A6121"/>
    <w:rsid w:val="009A7B26"/>
    <w:rsid w:val="009B1ADF"/>
    <w:rsid w:val="009B2D17"/>
    <w:rsid w:val="009B35B5"/>
    <w:rsid w:val="009B6674"/>
    <w:rsid w:val="009B6B85"/>
    <w:rsid w:val="009C03B2"/>
    <w:rsid w:val="009C0BAB"/>
    <w:rsid w:val="009C116F"/>
    <w:rsid w:val="009C1846"/>
    <w:rsid w:val="009C1D52"/>
    <w:rsid w:val="009C2822"/>
    <w:rsid w:val="009C48D0"/>
    <w:rsid w:val="009C4FCF"/>
    <w:rsid w:val="009C502C"/>
    <w:rsid w:val="009C51F3"/>
    <w:rsid w:val="009C5DDA"/>
    <w:rsid w:val="009C62AC"/>
    <w:rsid w:val="009C67F0"/>
    <w:rsid w:val="009C7086"/>
    <w:rsid w:val="009C7674"/>
    <w:rsid w:val="009C79E6"/>
    <w:rsid w:val="009D072C"/>
    <w:rsid w:val="009D0C26"/>
    <w:rsid w:val="009D21EF"/>
    <w:rsid w:val="009D294B"/>
    <w:rsid w:val="009D3CF4"/>
    <w:rsid w:val="009D41A6"/>
    <w:rsid w:val="009D4583"/>
    <w:rsid w:val="009D6B12"/>
    <w:rsid w:val="009D6D8F"/>
    <w:rsid w:val="009D7C62"/>
    <w:rsid w:val="009E10EF"/>
    <w:rsid w:val="009E3B3D"/>
    <w:rsid w:val="009E46F8"/>
    <w:rsid w:val="009E53E5"/>
    <w:rsid w:val="009E558D"/>
    <w:rsid w:val="009E5F81"/>
    <w:rsid w:val="009E6A7C"/>
    <w:rsid w:val="009E6E9D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9F5724"/>
    <w:rsid w:val="00A01AB7"/>
    <w:rsid w:val="00A02ED6"/>
    <w:rsid w:val="00A03332"/>
    <w:rsid w:val="00A0379C"/>
    <w:rsid w:val="00A04EA9"/>
    <w:rsid w:val="00A05D56"/>
    <w:rsid w:val="00A06BA3"/>
    <w:rsid w:val="00A071D1"/>
    <w:rsid w:val="00A10100"/>
    <w:rsid w:val="00A10E3B"/>
    <w:rsid w:val="00A1679B"/>
    <w:rsid w:val="00A17CB4"/>
    <w:rsid w:val="00A17D70"/>
    <w:rsid w:val="00A2012D"/>
    <w:rsid w:val="00A203F3"/>
    <w:rsid w:val="00A21725"/>
    <w:rsid w:val="00A256CA"/>
    <w:rsid w:val="00A25C2C"/>
    <w:rsid w:val="00A26947"/>
    <w:rsid w:val="00A26A85"/>
    <w:rsid w:val="00A27A5A"/>
    <w:rsid w:val="00A31204"/>
    <w:rsid w:val="00A3597F"/>
    <w:rsid w:val="00A364A1"/>
    <w:rsid w:val="00A424A9"/>
    <w:rsid w:val="00A4288C"/>
    <w:rsid w:val="00A44807"/>
    <w:rsid w:val="00A45CBC"/>
    <w:rsid w:val="00A46440"/>
    <w:rsid w:val="00A4691C"/>
    <w:rsid w:val="00A46D3C"/>
    <w:rsid w:val="00A47F28"/>
    <w:rsid w:val="00A5021D"/>
    <w:rsid w:val="00A5080A"/>
    <w:rsid w:val="00A52231"/>
    <w:rsid w:val="00A52359"/>
    <w:rsid w:val="00A52778"/>
    <w:rsid w:val="00A55819"/>
    <w:rsid w:val="00A55EEC"/>
    <w:rsid w:val="00A5744C"/>
    <w:rsid w:val="00A60915"/>
    <w:rsid w:val="00A64FCE"/>
    <w:rsid w:val="00A6503A"/>
    <w:rsid w:val="00A65820"/>
    <w:rsid w:val="00A65A94"/>
    <w:rsid w:val="00A6609B"/>
    <w:rsid w:val="00A6690D"/>
    <w:rsid w:val="00A70287"/>
    <w:rsid w:val="00A70737"/>
    <w:rsid w:val="00A7130A"/>
    <w:rsid w:val="00A718D9"/>
    <w:rsid w:val="00A71AE3"/>
    <w:rsid w:val="00A72D89"/>
    <w:rsid w:val="00A750F3"/>
    <w:rsid w:val="00A77779"/>
    <w:rsid w:val="00A77819"/>
    <w:rsid w:val="00A81099"/>
    <w:rsid w:val="00A81E4F"/>
    <w:rsid w:val="00A83697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A3734"/>
    <w:rsid w:val="00AA5390"/>
    <w:rsid w:val="00AB0F85"/>
    <w:rsid w:val="00AB1AA7"/>
    <w:rsid w:val="00AB45D5"/>
    <w:rsid w:val="00AB4FE1"/>
    <w:rsid w:val="00AB6D04"/>
    <w:rsid w:val="00AB6DDF"/>
    <w:rsid w:val="00AB7758"/>
    <w:rsid w:val="00AC17C4"/>
    <w:rsid w:val="00AC1A49"/>
    <w:rsid w:val="00AC3232"/>
    <w:rsid w:val="00AC3B86"/>
    <w:rsid w:val="00AC44BE"/>
    <w:rsid w:val="00AC5C9B"/>
    <w:rsid w:val="00AC60AA"/>
    <w:rsid w:val="00AD1098"/>
    <w:rsid w:val="00AD460E"/>
    <w:rsid w:val="00AD5EE9"/>
    <w:rsid w:val="00AD6741"/>
    <w:rsid w:val="00AE0715"/>
    <w:rsid w:val="00AE3388"/>
    <w:rsid w:val="00AE5249"/>
    <w:rsid w:val="00AE55F7"/>
    <w:rsid w:val="00AE7A01"/>
    <w:rsid w:val="00AE7B7A"/>
    <w:rsid w:val="00AF09AE"/>
    <w:rsid w:val="00AF1DCC"/>
    <w:rsid w:val="00AF44A1"/>
    <w:rsid w:val="00AF4F42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AF0"/>
    <w:rsid w:val="00B31B3D"/>
    <w:rsid w:val="00B32BC7"/>
    <w:rsid w:val="00B336A9"/>
    <w:rsid w:val="00B355E0"/>
    <w:rsid w:val="00B37780"/>
    <w:rsid w:val="00B37CD9"/>
    <w:rsid w:val="00B401CD"/>
    <w:rsid w:val="00B426EF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56E61"/>
    <w:rsid w:val="00B6146F"/>
    <w:rsid w:val="00B6192A"/>
    <w:rsid w:val="00B61C8B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4BDC"/>
    <w:rsid w:val="00B84D0A"/>
    <w:rsid w:val="00B86397"/>
    <w:rsid w:val="00B869AC"/>
    <w:rsid w:val="00B93085"/>
    <w:rsid w:val="00B955A3"/>
    <w:rsid w:val="00BA27D6"/>
    <w:rsid w:val="00BA486B"/>
    <w:rsid w:val="00BA49B1"/>
    <w:rsid w:val="00BA584F"/>
    <w:rsid w:val="00BA5E7B"/>
    <w:rsid w:val="00BA76C7"/>
    <w:rsid w:val="00BA7A68"/>
    <w:rsid w:val="00BB05BB"/>
    <w:rsid w:val="00BB2A81"/>
    <w:rsid w:val="00BB34C6"/>
    <w:rsid w:val="00BB5586"/>
    <w:rsid w:val="00BB7347"/>
    <w:rsid w:val="00BB749E"/>
    <w:rsid w:val="00BB7C28"/>
    <w:rsid w:val="00BC0591"/>
    <w:rsid w:val="00BC163C"/>
    <w:rsid w:val="00BC5230"/>
    <w:rsid w:val="00BC57E8"/>
    <w:rsid w:val="00BC58FD"/>
    <w:rsid w:val="00BC5AE2"/>
    <w:rsid w:val="00BC7984"/>
    <w:rsid w:val="00BD0FAC"/>
    <w:rsid w:val="00BD213D"/>
    <w:rsid w:val="00BD3C41"/>
    <w:rsid w:val="00BD4489"/>
    <w:rsid w:val="00BD5EEE"/>
    <w:rsid w:val="00BD600D"/>
    <w:rsid w:val="00BD6B8D"/>
    <w:rsid w:val="00BD7EC9"/>
    <w:rsid w:val="00BE092B"/>
    <w:rsid w:val="00BE0E0C"/>
    <w:rsid w:val="00BE1C34"/>
    <w:rsid w:val="00BE1CD6"/>
    <w:rsid w:val="00BE24C6"/>
    <w:rsid w:val="00BE3638"/>
    <w:rsid w:val="00BE3961"/>
    <w:rsid w:val="00BE3EEE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105A"/>
    <w:rsid w:val="00C01BEA"/>
    <w:rsid w:val="00C02D9D"/>
    <w:rsid w:val="00C04BC5"/>
    <w:rsid w:val="00C05CB5"/>
    <w:rsid w:val="00C071B3"/>
    <w:rsid w:val="00C076D1"/>
    <w:rsid w:val="00C0797F"/>
    <w:rsid w:val="00C105EC"/>
    <w:rsid w:val="00C1214E"/>
    <w:rsid w:val="00C1657D"/>
    <w:rsid w:val="00C173E2"/>
    <w:rsid w:val="00C17594"/>
    <w:rsid w:val="00C2197B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36487"/>
    <w:rsid w:val="00C42132"/>
    <w:rsid w:val="00C43340"/>
    <w:rsid w:val="00C446BF"/>
    <w:rsid w:val="00C44D3E"/>
    <w:rsid w:val="00C44F57"/>
    <w:rsid w:val="00C45805"/>
    <w:rsid w:val="00C4695E"/>
    <w:rsid w:val="00C46AC5"/>
    <w:rsid w:val="00C47117"/>
    <w:rsid w:val="00C51CCF"/>
    <w:rsid w:val="00C52337"/>
    <w:rsid w:val="00C54CED"/>
    <w:rsid w:val="00C5620B"/>
    <w:rsid w:val="00C62632"/>
    <w:rsid w:val="00C62646"/>
    <w:rsid w:val="00C62734"/>
    <w:rsid w:val="00C63331"/>
    <w:rsid w:val="00C65061"/>
    <w:rsid w:val="00C6637A"/>
    <w:rsid w:val="00C668F3"/>
    <w:rsid w:val="00C67894"/>
    <w:rsid w:val="00C67BB9"/>
    <w:rsid w:val="00C7353B"/>
    <w:rsid w:val="00C7387C"/>
    <w:rsid w:val="00C77A58"/>
    <w:rsid w:val="00C821EB"/>
    <w:rsid w:val="00C82A6D"/>
    <w:rsid w:val="00C8393D"/>
    <w:rsid w:val="00C8404D"/>
    <w:rsid w:val="00C876DE"/>
    <w:rsid w:val="00C90B0B"/>
    <w:rsid w:val="00C911AD"/>
    <w:rsid w:val="00C917FF"/>
    <w:rsid w:val="00C92590"/>
    <w:rsid w:val="00C92FA6"/>
    <w:rsid w:val="00C932A6"/>
    <w:rsid w:val="00C97BEE"/>
    <w:rsid w:val="00CA03C3"/>
    <w:rsid w:val="00CA0D3C"/>
    <w:rsid w:val="00CA4C5D"/>
    <w:rsid w:val="00CA6AF8"/>
    <w:rsid w:val="00CA7AC8"/>
    <w:rsid w:val="00CB0342"/>
    <w:rsid w:val="00CB0660"/>
    <w:rsid w:val="00CB0A29"/>
    <w:rsid w:val="00CB125F"/>
    <w:rsid w:val="00CB1B73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35DC"/>
    <w:rsid w:val="00CC62EB"/>
    <w:rsid w:val="00CD1190"/>
    <w:rsid w:val="00CD11E2"/>
    <w:rsid w:val="00CD12C1"/>
    <w:rsid w:val="00CD4ECF"/>
    <w:rsid w:val="00CD6707"/>
    <w:rsid w:val="00CD6FF6"/>
    <w:rsid w:val="00CE2BEC"/>
    <w:rsid w:val="00CE3238"/>
    <w:rsid w:val="00CE472F"/>
    <w:rsid w:val="00CE4745"/>
    <w:rsid w:val="00CE567B"/>
    <w:rsid w:val="00CE6EAF"/>
    <w:rsid w:val="00CE6F6D"/>
    <w:rsid w:val="00CE7518"/>
    <w:rsid w:val="00CE751F"/>
    <w:rsid w:val="00CF1DCE"/>
    <w:rsid w:val="00CF2CCE"/>
    <w:rsid w:val="00CF2CCF"/>
    <w:rsid w:val="00CF2F22"/>
    <w:rsid w:val="00CF3019"/>
    <w:rsid w:val="00CF3E39"/>
    <w:rsid w:val="00CF479F"/>
    <w:rsid w:val="00CF5B61"/>
    <w:rsid w:val="00CF5E44"/>
    <w:rsid w:val="00CF6651"/>
    <w:rsid w:val="00CF7F5F"/>
    <w:rsid w:val="00D00BC0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16644"/>
    <w:rsid w:val="00D17ADE"/>
    <w:rsid w:val="00D229A9"/>
    <w:rsid w:val="00D24E05"/>
    <w:rsid w:val="00D250B7"/>
    <w:rsid w:val="00D2537E"/>
    <w:rsid w:val="00D2565A"/>
    <w:rsid w:val="00D25D1D"/>
    <w:rsid w:val="00D2661E"/>
    <w:rsid w:val="00D27F58"/>
    <w:rsid w:val="00D27FF4"/>
    <w:rsid w:val="00D30654"/>
    <w:rsid w:val="00D31146"/>
    <w:rsid w:val="00D31DF0"/>
    <w:rsid w:val="00D33505"/>
    <w:rsid w:val="00D34062"/>
    <w:rsid w:val="00D349D0"/>
    <w:rsid w:val="00D3521D"/>
    <w:rsid w:val="00D37304"/>
    <w:rsid w:val="00D413E9"/>
    <w:rsid w:val="00D4486E"/>
    <w:rsid w:val="00D45AF9"/>
    <w:rsid w:val="00D46C4A"/>
    <w:rsid w:val="00D46F86"/>
    <w:rsid w:val="00D50589"/>
    <w:rsid w:val="00D51804"/>
    <w:rsid w:val="00D51B5A"/>
    <w:rsid w:val="00D52134"/>
    <w:rsid w:val="00D53103"/>
    <w:rsid w:val="00D541ED"/>
    <w:rsid w:val="00D54AA6"/>
    <w:rsid w:val="00D563AC"/>
    <w:rsid w:val="00D57520"/>
    <w:rsid w:val="00D6028F"/>
    <w:rsid w:val="00D60505"/>
    <w:rsid w:val="00D60698"/>
    <w:rsid w:val="00D60D65"/>
    <w:rsid w:val="00D620C1"/>
    <w:rsid w:val="00D631C9"/>
    <w:rsid w:val="00D63975"/>
    <w:rsid w:val="00D64495"/>
    <w:rsid w:val="00D667CD"/>
    <w:rsid w:val="00D707AB"/>
    <w:rsid w:val="00D72CE5"/>
    <w:rsid w:val="00D73C85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A59"/>
    <w:rsid w:val="00D84C99"/>
    <w:rsid w:val="00D861F1"/>
    <w:rsid w:val="00D8696A"/>
    <w:rsid w:val="00D879DD"/>
    <w:rsid w:val="00D91DD3"/>
    <w:rsid w:val="00D92489"/>
    <w:rsid w:val="00D94442"/>
    <w:rsid w:val="00D94480"/>
    <w:rsid w:val="00D9563D"/>
    <w:rsid w:val="00D961B1"/>
    <w:rsid w:val="00D963A7"/>
    <w:rsid w:val="00D9716E"/>
    <w:rsid w:val="00D97691"/>
    <w:rsid w:val="00D97A95"/>
    <w:rsid w:val="00D97C76"/>
    <w:rsid w:val="00DA0C25"/>
    <w:rsid w:val="00DA0FA0"/>
    <w:rsid w:val="00DA44D1"/>
    <w:rsid w:val="00DA58FD"/>
    <w:rsid w:val="00DA67C6"/>
    <w:rsid w:val="00DB0203"/>
    <w:rsid w:val="00DB1306"/>
    <w:rsid w:val="00DB6AF1"/>
    <w:rsid w:val="00DB72B6"/>
    <w:rsid w:val="00DB7A31"/>
    <w:rsid w:val="00DC0F66"/>
    <w:rsid w:val="00DC1248"/>
    <w:rsid w:val="00DC2DC1"/>
    <w:rsid w:val="00DC4A98"/>
    <w:rsid w:val="00DC4FC8"/>
    <w:rsid w:val="00DC51E5"/>
    <w:rsid w:val="00DC5965"/>
    <w:rsid w:val="00DC65E3"/>
    <w:rsid w:val="00DD0472"/>
    <w:rsid w:val="00DD0555"/>
    <w:rsid w:val="00DD189F"/>
    <w:rsid w:val="00DD358A"/>
    <w:rsid w:val="00DD4667"/>
    <w:rsid w:val="00DD5CCD"/>
    <w:rsid w:val="00DD7D67"/>
    <w:rsid w:val="00DE0F7D"/>
    <w:rsid w:val="00DE22C5"/>
    <w:rsid w:val="00DE3805"/>
    <w:rsid w:val="00DE389E"/>
    <w:rsid w:val="00DE406C"/>
    <w:rsid w:val="00DE4F68"/>
    <w:rsid w:val="00DE63A0"/>
    <w:rsid w:val="00DE6840"/>
    <w:rsid w:val="00DE6FFF"/>
    <w:rsid w:val="00DF0A56"/>
    <w:rsid w:val="00DF1125"/>
    <w:rsid w:val="00DF12E6"/>
    <w:rsid w:val="00DF14AF"/>
    <w:rsid w:val="00DF2EF7"/>
    <w:rsid w:val="00DF32A4"/>
    <w:rsid w:val="00DF354F"/>
    <w:rsid w:val="00DF393B"/>
    <w:rsid w:val="00DF475B"/>
    <w:rsid w:val="00E000E7"/>
    <w:rsid w:val="00E0046E"/>
    <w:rsid w:val="00E02842"/>
    <w:rsid w:val="00E0393C"/>
    <w:rsid w:val="00E04A94"/>
    <w:rsid w:val="00E0548C"/>
    <w:rsid w:val="00E05EEC"/>
    <w:rsid w:val="00E0681E"/>
    <w:rsid w:val="00E10570"/>
    <w:rsid w:val="00E1385A"/>
    <w:rsid w:val="00E14BBE"/>
    <w:rsid w:val="00E14FE8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7F4"/>
    <w:rsid w:val="00E271FF"/>
    <w:rsid w:val="00E30138"/>
    <w:rsid w:val="00E31CAF"/>
    <w:rsid w:val="00E3342D"/>
    <w:rsid w:val="00E33A84"/>
    <w:rsid w:val="00E34A10"/>
    <w:rsid w:val="00E378EE"/>
    <w:rsid w:val="00E40984"/>
    <w:rsid w:val="00E43CF4"/>
    <w:rsid w:val="00E440CA"/>
    <w:rsid w:val="00E44559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647B"/>
    <w:rsid w:val="00E56BCC"/>
    <w:rsid w:val="00E608C2"/>
    <w:rsid w:val="00E60D8F"/>
    <w:rsid w:val="00E61D7D"/>
    <w:rsid w:val="00E61F4F"/>
    <w:rsid w:val="00E62ABA"/>
    <w:rsid w:val="00E62FB0"/>
    <w:rsid w:val="00E6658F"/>
    <w:rsid w:val="00E669D3"/>
    <w:rsid w:val="00E66BE6"/>
    <w:rsid w:val="00E672F4"/>
    <w:rsid w:val="00E673E1"/>
    <w:rsid w:val="00E67FD4"/>
    <w:rsid w:val="00E702FB"/>
    <w:rsid w:val="00E70452"/>
    <w:rsid w:val="00E70FEF"/>
    <w:rsid w:val="00E71442"/>
    <w:rsid w:val="00E72E03"/>
    <w:rsid w:val="00E74526"/>
    <w:rsid w:val="00E7586F"/>
    <w:rsid w:val="00E760E0"/>
    <w:rsid w:val="00E769A7"/>
    <w:rsid w:val="00E76C1B"/>
    <w:rsid w:val="00E77C9C"/>
    <w:rsid w:val="00E80467"/>
    <w:rsid w:val="00E84165"/>
    <w:rsid w:val="00E85DF8"/>
    <w:rsid w:val="00E905C4"/>
    <w:rsid w:val="00E90FE2"/>
    <w:rsid w:val="00E916DA"/>
    <w:rsid w:val="00E91C81"/>
    <w:rsid w:val="00E9620E"/>
    <w:rsid w:val="00E96A1D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44A6"/>
    <w:rsid w:val="00EB6237"/>
    <w:rsid w:val="00EB690C"/>
    <w:rsid w:val="00EB7D67"/>
    <w:rsid w:val="00EB7D68"/>
    <w:rsid w:val="00EC01BA"/>
    <w:rsid w:val="00EC0543"/>
    <w:rsid w:val="00EC0B4F"/>
    <w:rsid w:val="00EC13FA"/>
    <w:rsid w:val="00EC15C4"/>
    <w:rsid w:val="00EC16C6"/>
    <w:rsid w:val="00EC23E9"/>
    <w:rsid w:val="00EC4995"/>
    <w:rsid w:val="00EC64CF"/>
    <w:rsid w:val="00EC707D"/>
    <w:rsid w:val="00EC7118"/>
    <w:rsid w:val="00EC761E"/>
    <w:rsid w:val="00ED2A26"/>
    <w:rsid w:val="00ED3144"/>
    <w:rsid w:val="00ED3235"/>
    <w:rsid w:val="00ED3EDD"/>
    <w:rsid w:val="00ED500C"/>
    <w:rsid w:val="00ED5B8C"/>
    <w:rsid w:val="00ED78DC"/>
    <w:rsid w:val="00EE1C36"/>
    <w:rsid w:val="00EE1D5D"/>
    <w:rsid w:val="00EE2656"/>
    <w:rsid w:val="00EE2B2D"/>
    <w:rsid w:val="00EE755D"/>
    <w:rsid w:val="00EE7919"/>
    <w:rsid w:val="00EF1569"/>
    <w:rsid w:val="00EF1FAC"/>
    <w:rsid w:val="00EF20E7"/>
    <w:rsid w:val="00EF21CA"/>
    <w:rsid w:val="00EF32DB"/>
    <w:rsid w:val="00EF394C"/>
    <w:rsid w:val="00EF3F2B"/>
    <w:rsid w:val="00EF4777"/>
    <w:rsid w:val="00EF736D"/>
    <w:rsid w:val="00EF7DDA"/>
    <w:rsid w:val="00F00F7A"/>
    <w:rsid w:val="00F03B8A"/>
    <w:rsid w:val="00F03F29"/>
    <w:rsid w:val="00F041CB"/>
    <w:rsid w:val="00F04565"/>
    <w:rsid w:val="00F05238"/>
    <w:rsid w:val="00F0659E"/>
    <w:rsid w:val="00F065B8"/>
    <w:rsid w:val="00F0685C"/>
    <w:rsid w:val="00F13AD7"/>
    <w:rsid w:val="00F14912"/>
    <w:rsid w:val="00F153DA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568"/>
    <w:rsid w:val="00F37B1B"/>
    <w:rsid w:val="00F40513"/>
    <w:rsid w:val="00F41914"/>
    <w:rsid w:val="00F420A6"/>
    <w:rsid w:val="00F420CA"/>
    <w:rsid w:val="00F44B4E"/>
    <w:rsid w:val="00F45275"/>
    <w:rsid w:val="00F457E0"/>
    <w:rsid w:val="00F46604"/>
    <w:rsid w:val="00F50D6B"/>
    <w:rsid w:val="00F51946"/>
    <w:rsid w:val="00F61B7C"/>
    <w:rsid w:val="00F61E17"/>
    <w:rsid w:val="00F61E54"/>
    <w:rsid w:val="00F624B8"/>
    <w:rsid w:val="00F652B3"/>
    <w:rsid w:val="00F70F8A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A090D"/>
    <w:rsid w:val="00FA1835"/>
    <w:rsid w:val="00FA1C20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3ED3"/>
    <w:rsid w:val="00FB5047"/>
    <w:rsid w:val="00FB5A47"/>
    <w:rsid w:val="00FB6739"/>
    <w:rsid w:val="00FB7A88"/>
    <w:rsid w:val="00FC1F34"/>
    <w:rsid w:val="00FC20AC"/>
    <w:rsid w:val="00FC2FA5"/>
    <w:rsid w:val="00FC3B47"/>
    <w:rsid w:val="00FC533C"/>
    <w:rsid w:val="00FC54AC"/>
    <w:rsid w:val="00FC58EF"/>
    <w:rsid w:val="00FC6AC9"/>
    <w:rsid w:val="00FC75D1"/>
    <w:rsid w:val="00FD05F3"/>
    <w:rsid w:val="00FD09DC"/>
    <w:rsid w:val="00FD14E4"/>
    <w:rsid w:val="00FD2E02"/>
    <w:rsid w:val="00FD3D24"/>
    <w:rsid w:val="00FD405A"/>
    <w:rsid w:val="00FD447D"/>
    <w:rsid w:val="00FD46A0"/>
    <w:rsid w:val="00FD7086"/>
    <w:rsid w:val="00FD7FCF"/>
    <w:rsid w:val="00FE11A2"/>
    <w:rsid w:val="00FE157D"/>
    <w:rsid w:val="00FE1EB1"/>
    <w:rsid w:val="00FE26A9"/>
    <w:rsid w:val="00FE2826"/>
    <w:rsid w:val="00FE38E3"/>
    <w:rsid w:val="00FE6173"/>
    <w:rsid w:val="00FE76AA"/>
    <w:rsid w:val="00FE7BB2"/>
    <w:rsid w:val="00FF320E"/>
    <w:rsid w:val="00FF4283"/>
    <w:rsid w:val="00FF4A4A"/>
    <w:rsid w:val="00FF500C"/>
    <w:rsid w:val="00FF55A1"/>
    <w:rsid w:val="00FF5647"/>
    <w:rsid w:val="00FF59E1"/>
    <w:rsid w:val="00FF5B04"/>
    <w:rsid w:val="00FF5EE1"/>
    <w:rsid w:val="00FF5F42"/>
    <w:rsid w:val="00FF68F5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0C41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table" w:customStyle="1" w:styleId="10">
    <w:name w:val="표 구분선1"/>
    <w:basedOn w:val="a1"/>
    <w:next w:val="a7"/>
    <w:uiPriority w:val="59"/>
    <w:qFormat/>
    <w:rsid w:val="007E2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6A1A18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6A1A18"/>
    <w:rPr>
      <w:rFonts w:ascii="Times New Roman" w:eastAsia="맑은 고딕" w:hAnsi="Times New Roman" w:cs="바탕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53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4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0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13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3DAE4-FBE8-4287-BD43-19F03E64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</cp:lastModifiedBy>
  <cp:revision>28</cp:revision>
  <cp:lastPrinted>2019-08-16T03:53:00Z</cp:lastPrinted>
  <dcterms:created xsi:type="dcterms:W3CDTF">2023-09-26T09:11:00Z</dcterms:created>
  <dcterms:modified xsi:type="dcterms:W3CDTF">2023-09-27T00:53:00Z</dcterms:modified>
</cp:coreProperties>
</file>